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7C13EFB6" w:rsidR="00AB7E51" w:rsidRDefault="00BD4EE4" w:rsidP="005F1B06">
            <w:pPr>
              <w:pStyle w:val="Title"/>
            </w:pPr>
            <w:r>
              <w:t>Home Energy Reports</w:t>
            </w:r>
            <w:r w:rsidR="00AB7E51">
              <w:t xml:space="preserve">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0035F761" w:rsidR="00AB7E51" w:rsidRPr="00363D18" w:rsidRDefault="00BD4EE4" w:rsidP="005F1B06">
            <w:pPr>
              <w:pStyle w:val="CoverClientName0"/>
              <w:spacing w:after="0"/>
            </w:pPr>
            <w:r>
              <w:t xml:space="preserve">April </w:t>
            </w:r>
            <w:r w:rsidR="00833838">
              <w:t>29</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09B997B7" w:rsidR="00AB7E51" w:rsidRDefault="00AB7E51" w:rsidP="005F1B06">
            <w:pPr>
              <w:pStyle w:val="BodyTextBold"/>
              <w:rPr>
                <w:rStyle w:val="CoverText"/>
              </w:rPr>
            </w:pPr>
            <w:r>
              <w:rPr>
                <w:rStyle w:val="CoverText"/>
              </w:rPr>
              <w:t>Prepared by:</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1E980613" w:rsidR="00AB7E51" w:rsidRPr="008B387B" w:rsidRDefault="00BD4EE4" w:rsidP="005F1B06">
            <w:pPr>
              <w:pStyle w:val="PresentedBy"/>
              <w:rPr>
                <w:bCs/>
                <w:color w:val="auto"/>
              </w:rPr>
            </w:pPr>
            <w:r>
              <w:rPr>
                <w:bCs/>
                <w:color w:val="auto"/>
              </w:rPr>
              <w:t>Carly Olig</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4C2181CD" w14:textId="7941EA36" w:rsidR="00AB7E51" w:rsidRPr="008B387B" w:rsidRDefault="00BD4EE4" w:rsidP="005F1B06">
            <w:pPr>
              <w:pStyle w:val="BodyTextNoSpacingAfter"/>
              <w:rPr>
                <w:rStyle w:val="CoverText"/>
                <w:bCs/>
              </w:rPr>
            </w:pPr>
            <w:r>
              <w:rPr>
                <w:rStyle w:val="CoverText"/>
                <w:bCs/>
              </w:rPr>
              <w:t>Gilbert Wong</w:t>
            </w:r>
          </w:p>
          <w:p w14:paraId="3C7D60B4" w14:textId="62EA50F9" w:rsidR="00AB7E51" w:rsidRPr="008B387B" w:rsidRDefault="00BD4EE4" w:rsidP="005F1B06">
            <w:pPr>
              <w:pStyle w:val="BodyTextNoSpacingAfter"/>
              <w:rPr>
                <w:rStyle w:val="CoverText"/>
                <w:bCs/>
              </w:rPr>
            </w:pPr>
            <w:r>
              <w:rPr>
                <w:rStyle w:val="CoverText"/>
                <w:bCs/>
              </w:rPr>
              <w:t>Guidehouse</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3CE7D16"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FB693F">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6961DE0F" w14:textId="647DF16E" w:rsidR="00C63B04"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5145387" w:history="1">
        <w:r w:rsidR="00C63B04" w:rsidRPr="00966391">
          <w:rPr>
            <w:rStyle w:val="Hyperlink"/>
            <w:noProof/>
          </w:rPr>
          <w:t>1. Introduction</w:t>
        </w:r>
        <w:r w:rsidR="00C63B04">
          <w:rPr>
            <w:noProof/>
            <w:webHidden/>
          </w:rPr>
          <w:tab/>
        </w:r>
        <w:r w:rsidR="00C63B04">
          <w:rPr>
            <w:noProof/>
            <w:webHidden/>
          </w:rPr>
          <w:fldChar w:fldCharType="begin"/>
        </w:r>
        <w:r w:rsidR="00C63B04">
          <w:rPr>
            <w:noProof/>
            <w:webHidden/>
          </w:rPr>
          <w:instrText xml:space="preserve"> PAGEREF _Toc165145387 \h </w:instrText>
        </w:r>
        <w:r w:rsidR="00C63B04">
          <w:rPr>
            <w:noProof/>
            <w:webHidden/>
          </w:rPr>
        </w:r>
        <w:r w:rsidR="00C63B04">
          <w:rPr>
            <w:noProof/>
            <w:webHidden/>
          </w:rPr>
          <w:fldChar w:fldCharType="separate"/>
        </w:r>
        <w:r w:rsidR="00C63B04">
          <w:rPr>
            <w:noProof/>
            <w:webHidden/>
          </w:rPr>
          <w:t>1</w:t>
        </w:r>
        <w:r w:rsidR="00C63B04">
          <w:rPr>
            <w:noProof/>
            <w:webHidden/>
          </w:rPr>
          <w:fldChar w:fldCharType="end"/>
        </w:r>
      </w:hyperlink>
    </w:p>
    <w:p w14:paraId="6A90D324" w14:textId="639F8DA9"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88" w:history="1">
        <w:r w:rsidR="00C63B04" w:rsidRPr="00966391">
          <w:rPr>
            <w:rStyle w:val="Hyperlink"/>
            <w:noProof/>
          </w:rPr>
          <w:t>2. Program Description</w:t>
        </w:r>
        <w:r w:rsidR="00C63B04">
          <w:rPr>
            <w:noProof/>
            <w:webHidden/>
          </w:rPr>
          <w:tab/>
        </w:r>
        <w:r w:rsidR="00C63B04">
          <w:rPr>
            <w:noProof/>
            <w:webHidden/>
          </w:rPr>
          <w:fldChar w:fldCharType="begin"/>
        </w:r>
        <w:r w:rsidR="00C63B04">
          <w:rPr>
            <w:noProof/>
            <w:webHidden/>
          </w:rPr>
          <w:instrText xml:space="preserve"> PAGEREF _Toc165145388 \h </w:instrText>
        </w:r>
        <w:r w:rsidR="00C63B04">
          <w:rPr>
            <w:noProof/>
            <w:webHidden/>
          </w:rPr>
        </w:r>
        <w:r w:rsidR="00C63B04">
          <w:rPr>
            <w:noProof/>
            <w:webHidden/>
          </w:rPr>
          <w:fldChar w:fldCharType="separate"/>
        </w:r>
        <w:r w:rsidR="00C63B04">
          <w:rPr>
            <w:noProof/>
            <w:webHidden/>
          </w:rPr>
          <w:t>1</w:t>
        </w:r>
        <w:r w:rsidR="00C63B04">
          <w:rPr>
            <w:noProof/>
            <w:webHidden/>
          </w:rPr>
          <w:fldChar w:fldCharType="end"/>
        </w:r>
      </w:hyperlink>
    </w:p>
    <w:p w14:paraId="51010948" w14:textId="14EBC915"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89" w:history="1">
        <w:r w:rsidR="00C63B04" w:rsidRPr="00966391">
          <w:rPr>
            <w:rStyle w:val="Hyperlink"/>
            <w:noProof/>
          </w:rPr>
          <w:t>3. Program Savings Detail</w:t>
        </w:r>
        <w:r w:rsidR="00C63B04">
          <w:rPr>
            <w:noProof/>
            <w:webHidden/>
          </w:rPr>
          <w:tab/>
        </w:r>
        <w:r w:rsidR="00C63B04">
          <w:rPr>
            <w:noProof/>
            <w:webHidden/>
          </w:rPr>
          <w:fldChar w:fldCharType="begin"/>
        </w:r>
        <w:r w:rsidR="00C63B04">
          <w:rPr>
            <w:noProof/>
            <w:webHidden/>
          </w:rPr>
          <w:instrText xml:space="preserve"> PAGEREF _Toc165145389 \h </w:instrText>
        </w:r>
        <w:r w:rsidR="00C63B04">
          <w:rPr>
            <w:noProof/>
            <w:webHidden/>
          </w:rPr>
        </w:r>
        <w:r w:rsidR="00C63B04">
          <w:rPr>
            <w:noProof/>
            <w:webHidden/>
          </w:rPr>
          <w:fldChar w:fldCharType="separate"/>
        </w:r>
        <w:r w:rsidR="00C63B04">
          <w:rPr>
            <w:noProof/>
            <w:webHidden/>
          </w:rPr>
          <w:t>2</w:t>
        </w:r>
        <w:r w:rsidR="00C63B04">
          <w:rPr>
            <w:noProof/>
            <w:webHidden/>
          </w:rPr>
          <w:fldChar w:fldCharType="end"/>
        </w:r>
      </w:hyperlink>
    </w:p>
    <w:p w14:paraId="2FCDFD01" w14:textId="63DEC8EF"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90" w:history="1">
        <w:r w:rsidR="00C63B04" w:rsidRPr="00966391">
          <w:rPr>
            <w:rStyle w:val="Hyperlink"/>
            <w:noProof/>
          </w:rPr>
          <w:t>4. Program Savings by Measure</w:t>
        </w:r>
        <w:r w:rsidR="00C63B04">
          <w:rPr>
            <w:noProof/>
            <w:webHidden/>
          </w:rPr>
          <w:tab/>
        </w:r>
        <w:r w:rsidR="00C63B04">
          <w:rPr>
            <w:noProof/>
            <w:webHidden/>
          </w:rPr>
          <w:fldChar w:fldCharType="begin"/>
        </w:r>
        <w:r w:rsidR="00C63B04">
          <w:rPr>
            <w:noProof/>
            <w:webHidden/>
          </w:rPr>
          <w:instrText xml:space="preserve"> PAGEREF _Toc165145390 \h </w:instrText>
        </w:r>
        <w:r w:rsidR="00C63B04">
          <w:rPr>
            <w:noProof/>
            <w:webHidden/>
          </w:rPr>
        </w:r>
        <w:r w:rsidR="00C63B04">
          <w:rPr>
            <w:noProof/>
            <w:webHidden/>
          </w:rPr>
          <w:fldChar w:fldCharType="separate"/>
        </w:r>
        <w:r w:rsidR="00C63B04">
          <w:rPr>
            <w:noProof/>
            <w:webHidden/>
          </w:rPr>
          <w:t>2</w:t>
        </w:r>
        <w:r w:rsidR="00C63B04">
          <w:rPr>
            <w:noProof/>
            <w:webHidden/>
          </w:rPr>
          <w:fldChar w:fldCharType="end"/>
        </w:r>
      </w:hyperlink>
    </w:p>
    <w:p w14:paraId="0C6FCDC8" w14:textId="697F6AC3"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91" w:history="1">
        <w:r w:rsidR="00C63B04" w:rsidRPr="00966391">
          <w:rPr>
            <w:rStyle w:val="Hyperlink"/>
            <w:noProof/>
          </w:rPr>
          <w:t>5. Impact Analysis Findings and Recommendations</w:t>
        </w:r>
        <w:r w:rsidR="00C63B04">
          <w:rPr>
            <w:noProof/>
            <w:webHidden/>
          </w:rPr>
          <w:tab/>
        </w:r>
        <w:r w:rsidR="00C63B04">
          <w:rPr>
            <w:noProof/>
            <w:webHidden/>
          </w:rPr>
          <w:fldChar w:fldCharType="begin"/>
        </w:r>
        <w:r w:rsidR="00C63B04">
          <w:rPr>
            <w:noProof/>
            <w:webHidden/>
          </w:rPr>
          <w:instrText xml:space="preserve"> PAGEREF _Toc165145391 \h </w:instrText>
        </w:r>
        <w:r w:rsidR="00C63B04">
          <w:rPr>
            <w:noProof/>
            <w:webHidden/>
          </w:rPr>
        </w:r>
        <w:r w:rsidR="00C63B04">
          <w:rPr>
            <w:noProof/>
            <w:webHidden/>
          </w:rPr>
          <w:fldChar w:fldCharType="separate"/>
        </w:r>
        <w:r w:rsidR="00C63B04">
          <w:rPr>
            <w:noProof/>
            <w:webHidden/>
          </w:rPr>
          <w:t>2</w:t>
        </w:r>
        <w:r w:rsidR="00C63B04">
          <w:rPr>
            <w:noProof/>
            <w:webHidden/>
          </w:rPr>
          <w:fldChar w:fldCharType="end"/>
        </w:r>
      </w:hyperlink>
    </w:p>
    <w:p w14:paraId="383630E6" w14:textId="41ED7F5F"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92" w:history="1">
        <w:r w:rsidR="00C63B04" w:rsidRPr="00966391">
          <w:rPr>
            <w:rStyle w:val="Hyperlink"/>
            <w:noProof/>
          </w:rPr>
          <w:t>Appendix A. Impact Analysis Methodology</w:t>
        </w:r>
        <w:r w:rsidR="00C63B04">
          <w:rPr>
            <w:noProof/>
            <w:webHidden/>
          </w:rPr>
          <w:tab/>
        </w:r>
        <w:r w:rsidR="00C63B04">
          <w:rPr>
            <w:noProof/>
            <w:webHidden/>
          </w:rPr>
          <w:fldChar w:fldCharType="begin"/>
        </w:r>
        <w:r w:rsidR="00C63B04">
          <w:rPr>
            <w:noProof/>
            <w:webHidden/>
          </w:rPr>
          <w:instrText xml:space="preserve"> PAGEREF _Toc165145392 \h </w:instrText>
        </w:r>
        <w:r w:rsidR="00C63B04">
          <w:rPr>
            <w:noProof/>
            <w:webHidden/>
          </w:rPr>
        </w:r>
        <w:r w:rsidR="00C63B04">
          <w:rPr>
            <w:noProof/>
            <w:webHidden/>
          </w:rPr>
          <w:fldChar w:fldCharType="separate"/>
        </w:r>
        <w:r w:rsidR="00C63B04">
          <w:rPr>
            <w:noProof/>
            <w:webHidden/>
          </w:rPr>
          <w:t>A-1</w:t>
        </w:r>
        <w:r w:rsidR="00C63B04">
          <w:rPr>
            <w:noProof/>
            <w:webHidden/>
          </w:rPr>
          <w:fldChar w:fldCharType="end"/>
        </w:r>
      </w:hyperlink>
    </w:p>
    <w:p w14:paraId="11FEA6B9" w14:textId="2C97C0C8" w:rsidR="00C63B04" w:rsidRDefault="00372B72">
      <w:pPr>
        <w:pStyle w:val="TOC2"/>
        <w:rPr>
          <w:rFonts w:asciiTheme="minorHAnsi" w:eastAsiaTheme="minorEastAsia" w:hAnsiTheme="minorHAnsi" w:cstheme="minorBidi"/>
          <w:kern w:val="2"/>
          <w:szCs w:val="22"/>
          <w14:ligatures w14:val="standardContextual"/>
        </w:rPr>
      </w:pPr>
      <w:hyperlink w:anchor="_Toc165145393" w:history="1">
        <w:r w:rsidR="00C63B04" w:rsidRPr="00966391">
          <w:rPr>
            <w:rStyle w:val="Hyperlink"/>
          </w:rPr>
          <w:t>A.1 Savings Methodology</w:t>
        </w:r>
        <w:r w:rsidR="00C63B04">
          <w:rPr>
            <w:webHidden/>
          </w:rPr>
          <w:tab/>
        </w:r>
        <w:r w:rsidR="00C63B04">
          <w:rPr>
            <w:webHidden/>
          </w:rPr>
          <w:fldChar w:fldCharType="begin"/>
        </w:r>
        <w:r w:rsidR="00C63B04">
          <w:rPr>
            <w:webHidden/>
          </w:rPr>
          <w:instrText xml:space="preserve"> PAGEREF _Toc165145393 \h </w:instrText>
        </w:r>
        <w:r w:rsidR="00C63B04">
          <w:rPr>
            <w:webHidden/>
          </w:rPr>
        </w:r>
        <w:r w:rsidR="00C63B04">
          <w:rPr>
            <w:webHidden/>
          </w:rPr>
          <w:fldChar w:fldCharType="separate"/>
        </w:r>
        <w:r w:rsidR="00C63B04">
          <w:rPr>
            <w:webHidden/>
          </w:rPr>
          <w:t>A-1</w:t>
        </w:r>
        <w:r w:rsidR="00C63B04">
          <w:rPr>
            <w:webHidden/>
          </w:rPr>
          <w:fldChar w:fldCharType="end"/>
        </w:r>
      </w:hyperlink>
    </w:p>
    <w:p w14:paraId="714EBF67" w14:textId="67886BC7"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94" w:history="1">
        <w:r w:rsidR="00C63B04" w:rsidRPr="00966391">
          <w:rPr>
            <w:rStyle w:val="Hyperlink"/>
            <w:noProof/>
          </w:rPr>
          <w:t>Appendix B. Detailed Impact Analysis Results</w:t>
        </w:r>
        <w:r w:rsidR="00C63B04">
          <w:rPr>
            <w:noProof/>
            <w:webHidden/>
          </w:rPr>
          <w:tab/>
        </w:r>
        <w:r w:rsidR="00C63B04">
          <w:rPr>
            <w:noProof/>
            <w:webHidden/>
          </w:rPr>
          <w:fldChar w:fldCharType="begin"/>
        </w:r>
        <w:r w:rsidR="00C63B04">
          <w:rPr>
            <w:noProof/>
            <w:webHidden/>
          </w:rPr>
          <w:instrText xml:space="preserve"> PAGEREF _Toc165145394 \h </w:instrText>
        </w:r>
        <w:r w:rsidR="00C63B04">
          <w:rPr>
            <w:noProof/>
            <w:webHidden/>
          </w:rPr>
        </w:r>
        <w:r w:rsidR="00C63B04">
          <w:rPr>
            <w:noProof/>
            <w:webHidden/>
          </w:rPr>
          <w:fldChar w:fldCharType="separate"/>
        </w:r>
        <w:r w:rsidR="00C63B04">
          <w:rPr>
            <w:noProof/>
            <w:webHidden/>
          </w:rPr>
          <w:t>B-1</w:t>
        </w:r>
        <w:r w:rsidR="00C63B04">
          <w:rPr>
            <w:noProof/>
            <w:webHidden/>
          </w:rPr>
          <w:fldChar w:fldCharType="end"/>
        </w:r>
      </w:hyperlink>
    </w:p>
    <w:p w14:paraId="7511B518" w14:textId="1281568D" w:rsidR="00C63B04" w:rsidRDefault="00372B72">
      <w:pPr>
        <w:pStyle w:val="TOC2"/>
        <w:rPr>
          <w:rFonts w:asciiTheme="minorHAnsi" w:eastAsiaTheme="minorEastAsia" w:hAnsiTheme="minorHAnsi" w:cstheme="minorBidi"/>
          <w:kern w:val="2"/>
          <w:szCs w:val="22"/>
          <w14:ligatures w14:val="standardContextual"/>
        </w:rPr>
      </w:pPr>
      <w:hyperlink w:anchor="_Toc165145395" w:history="1">
        <w:r w:rsidR="00C63B04" w:rsidRPr="00966391">
          <w:rPr>
            <w:rStyle w:val="Hyperlink"/>
          </w:rPr>
          <w:t>B.1 Savings</w:t>
        </w:r>
        <w:r w:rsidR="00C63B04">
          <w:rPr>
            <w:webHidden/>
          </w:rPr>
          <w:tab/>
        </w:r>
        <w:r w:rsidR="00C63B04">
          <w:rPr>
            <w:webHidden/>
          </w:rPr>
          <w:fldChar w:fldCharType="begin"/>
        </w:r>
        <w:r w:rsidR="00C63B04">
          <w:rPr>
            <w:webHidden/>
          </w:rPr>
          <w:instrText xml:space="preserve"> PAGEREF _Toc165145395 \h </w:instrText>
        </w:r>
        <w:r w:rsidR="00C63B04">
          <w:rPr>
            <w:webHidden/>
          </w:rPr>
        </w:r>
        <w:r w:rsidR="00C63B04">
          <w:rPr>
            <w:webHidden/>
          </w:rPr>
          <w:fldChar w:fldCharType="separate"/>
        </w:r>
        <w:r w:rsidR="00C63B04">
          <w:rPr>
            <w:webHidden/>
          </w:rPr>
          <w:t>B-1</w:t>
        </w:r>
        <w:r w:rsidR="00C63B04">
          <w:rPr>
            <w:webHidden/>
          </w:rPr>
          <w:fldChar w:fldCharType="end"/>
        </w:r>
      </w:hyperlink>
    </w:p>
    <w:p w14:paraId="435D6277" w14:textId="54B6EF37" w:rsidR="00C63B04" w:rsidRDefault="00372B72">
      <w:pPr>
        <w:pStyle w:val="TOC2"/>
        <w:rPr>
          <w:rFonts w:asciiTheme="minorHAnsi" w:eastAsiaTheme="minorEastAsia" w:hAnsiTheme="minorHAnsi" w:cstheme="minorBidi"/>
          <w:kern w:val="2"/>
          <w:szCs w:val="22"/>
          <w14:ligatures w14:val="standardContextual"/>
        </w:rPr>
      </w:pPr>
      <w:hyperlink w:anchor="_Toc165145396" w:history="1">
        <w:r w:rsidR="00C63B04" w:rsidRPr="00966391">
          <w:rPr>
            <w:rStyle w:val="Hyperlink"/>
          </w:rPr>
          <w:t>B.2 Uplift Analysis Results</w:t>
        </w:r>
        <w:r w:rsidR="00C63B04">
          <w:rPr>
            <w:webHidden/>
          </w:rPr>
          <w:tab/>
        </w:r>
        <w:r w:rsidR="00C63B04">
          <w:rPr>
            <w:webHidden/>
          </w:rPr>
          <w:fldChar w:fldCharType="begin"/>
        </w:r>
        <w:r w:rsidR="00C63B04">
          <w:rPr>
            <w:webHidden/>
          </w:rPr>
          <w:instrText xml:space="preserve"> PAGEREF _Toc165145396 \h </w:instrText>
        </w:r>
        <w:r w:rsidR="00C63B04">
          <w:rPr>
            <w:webHidden/>
          </w:rPr>
        </w:r>
        <w:r w:rsidR="00C63B04">
          <w:rPr>
            <w:webHidden/>
          </w:rPr>
          <w:fldChar w:fldCharType="separate"/>
        </w:r>
        <w:r w:rsidR="00C63B04">
          <w:rPr>
            <w:webHidden/>
          </w:rPr>
          <w:t>B-5</w:t>
        </w:r>
        <w:r w:rsidR="00C63B04">
          <w:rPr>
            <w:webHidden/>
          </w:rPr>
          <w:fldChar w:fldCharType="end"/>
        </w:r>
      </w:hyperlink>
    </w:p>
    <w:p w14:paraId="709735BC" w14:textId="077198B2" w:rsidR="00C63B04" w:rsidRDefault="00372B72">
      <w:pPr>
        <w:pStyle w:val="TOC1"/>
        <w:rPr>
          <w:rFonts w:asciiTheme="minorHAnsi" w:eastAsiaTheme="minorEastAsia" w:hAnsiTheme="minorHAnsi" w:cstheme="minorBidi"/>
          <w:b w:val="0"/>
          <w:noProof/>
          <w:kern w:val="2"/>
          <w:sz w:val="22"/>
          <w14:ligatures w14:val="standardContextual"/>
        </w:rPr>
      </w:pPr>
      <w:hyperlink w:anchor="_Toc165145397" w:history="1">
        <w:r w:rsidR="00C63B04" w:rsidRPr="00966391">
          <w:rPr>
            <w:rStyle w:val="Hyperlink"/>
            <w:noProof/>
          </w:rPr>
          <w:t>Appendix C. Program Specific Inputs for the Illinois TRC</w:t>
        </w:r>
        <w:r w:rsidR="00C63B04">
          <w:rPr>
            <w:noProof/>
            <w:webHidden/>
          </w:rPr>
          <w:tab/>
        </w:r>
        <w:r w:rsidR="00C63B04">
          <w:rPr>
            <w:noProof/>
            <w:webHidden/>
          </w:rPr>
          <w:fldChar w:fldCharType="begin"/>
        </w:r>
        <w:r w:rsidR="00C63B04">
          <w:rPr>
            <w:noProof/>
            <w:webHidden/>
          </w:rPr>
          <w:instrText xml:space="preserve"> PAGEREF _Toc165145397 \h </w:instrText>
        </w:r>
        <w:r w:rsidR="00C63B04">
          <w:rPr>
            <w:noProof/>
            <w:webHidden/>
          </w:rPr>
        </w:r>
        <w:r w:rsidR="00C63B04">
          <w:rPr>
            <w:noProof/>
            <w:webHidden/>
          </w:rPr>
          <w:fldChar w:fldCharType="separate"/>
        </w:r>
        <w:r w:rsidR="00C63B04">
          <w:rPr>
            <w:noProof/>
            <w:webHidden/>
          </w:rPr>
          <w:t>C-1</w:t>
        </w:r>
        <w:r w:rsidR="00C63B04">
          <w:rPr>
            <w:noProof/>
            <w:webHidden/>
          </w:rPr>
          <w:fldChar w:fldCharType="end"/>
        </w:r>
      </w:hyperlink>
    </w:p>
    <w:p w14:paraId="34CB025D" w14:textId="73F56A93"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4262D26A" w14:textId="31EF1ABE" w:rsidR="003D6684"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5318817" w:history="1">
        <w:r w:rsidR="003D6684" w:rsidRPr="00D25CF1">
          <w:rPr>
            <w:rStyle w:val="Hyperlink"/>
            <w:noProof/>
          </w:rPr>
          <w:t>Table 1. 2023 Volumetric Findings Detail</w:t>
        </w:r>
        <w:r w:rsidR="003D6684">
          <w:rPr>
            <w:noProof/>
            <w:webHidden/>
          </w:rPr>
          <w:tab/>
        </w:r>
        <w:r w:rsidR="003D6684">
          <w:rPr>
            <w:noProof/>
            <w:webHidden/>
          </w:rPr>
          <w:fldChar w:fldCharType="begin"/>
        </w:r>
        <w:r w:rsidR="003D6684">
          <w:rPr>
            <w:noProof/>
            <w:webHidden/>
          </w:rPr>
          <w:instrText xml:space="preserve"> PAGEREF _Toc165318817 \h </w:instrText>
        </w:r>
        <w:r w:rsidR="003D6684">
          <w:rPr>
            <w:noProof/>
            <w:webHidden/>
          </w:rPr>
        </w:r>
        <w:r w:rsidR="003D6684">
          <w:rPr>
            <w:noProof/>
            <w:webHidden/>
          </w:rPr>
          <w:fldChar w:fldCharType="separate"/>
        </w:r>
        <w:r w:rsidR="003D6684">
          <w:rPr>
            <w:noProof/>
            <w:webHidden/>
          </w:rPr>
          <w:t>1</w:t>
        </w:r>
        <w:r w:rsidR="003D6684">
          <w:rPr>
            <w:noProof/>
            <w:webHidden/>
          </w:rPr>
          <w:fldChar w:fldCharType="end"/>
        </w:r>
      </w:hyperlink>
    </w:p>
    <w:p w14:paraId="642F0C1D" w14:textId="075E49BD"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18" w:history="1">
        <w:r w:rsidRPr="00D25CF1">
          <w:rPr>
            <w:rStyle w:val="Hyperlink"/>
            <w:noProof/>
          </w:rPr>
          <w:t>Table 2. 2023 Annual Energy Savings Summary</w:t>
        </w:r>
        <w:r>
          <w:rPr>
            <w:noProof/>
            <w:webHidden/>
          </w:rPr>
          <w:tab/>
        </w:r>
        <w:r>
          <w:rPr>
            <w:noProof/>
            <w:webHidden/>
          </w:rPr>
          <w:fldChar w:fldCharType="begin"/>
        </w:r>
        <w:r>
          <w:rPr>
            <w:noProof/>
            <w:webHidden/>
          </w:rPr>
          <w:instrText xml:space="preserve"> PAGEREF _Toc165318818 \h </w:instrText>
        </w:r>
        <w:r>
          <w:rPr>
            <w:noProof/>
            <w:webHidden/>
          </w:rPr>
        </w:r>
        <w:r>
          <w:rPr>
            <w:noProof/>
            <w:webHidden/>
          </w:rPr>
          <w:fldChar w:fldCharType="separate"/>
        </w:r>
        <w:r>
          <w:rPr>
            <w:noProof/>
            <w:webHidden/>
          </w:rPr>
          <w:t>2</w:t>
        </w:r>
        <w:r>
          <w:rPr>
            <w:noProof/>
            <w:webHidden/>
          </w:rPr>
          <w:fldChar w:fldCharType="end"/>
        </w:r>
      </w:hyperlink>
    </w:p>
    <w:p w14:paraId="7E3F4475" w14:textId="7BF0AC0B" w:rsidR="005618B1" w:rsidRDefault="005F6937" w:rsidP="005618B1">
      <w:pPr>
        <w:pStyle w:val="TableofFigures"/>
      </w:pPr>
      <w:r>
        <w:fldChar w:fldCharType="end"/>
      </w:r>
    </w:p>
    <w:p w14:paraId="116B2ED3" w14:textId="12746C09" w:rsidR="003D6684"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5318881" w:history="1">
        <w:r w:rsidR="003D6684" w:rsidRPr="00535B30">
          <w:rPr>
            <w:rStyle w:val="Hyperlink"/>
            <w:noProof/>
          </w:rPr>
          <w:t>Table A</w:t>
        </w:r>
        <w:r w:rsidR="003D6684" w:rsidRPr="00535B30">
          <w:rPr>
            <w:rStyle w:val="Hyperlink"/>
            <w:noProof/>
          </w:rPr>
          <w:noBreakHyphen/>
          <w:t>1. Gas Savings Persistence Factors</w:t>
        </w:r>
        <w:r w:rsidR="003D6684">
          <w:rPr>
            <w:noProof/>
            <w:webHidden/>
          </w:rPr>
          <w:tab/>
        </w:r>
        <w:r w:rsidR="003D6684">
          <w:rPr>
            <w:noProof/>
            <w:webHidden/>
          </w:rPr>
          <w:fldChar w:fldCharType="begin"/>
        </w:r>
        <w:r w:rsidR="003D6684">
          <w:rPr>
            <w:noProof/>
            <w:webHidden/>
          </w:rPr>
          <w:instrText xml:space="preserve"> PAGEREF _Toc165318881 \h </w:instrText>
        </w:r>
        <w:r w:rsidR="003D6684">
          <w:rPr>
            <w:noProof/>
            <w:webHidden/>
          </w:rPr>
        </w:r>
        <w:r w:rsidR="003D6684">
          <w:rPr>
            <w:noProof/>
            <w:webHidden/>
          </w:rPr>
          <w:fldChar w:fldCharType="separate"/>
        </w:r>
        <w:r w:rsidR="003D6684">
          <w:rPr>
            <w:noProof/>
            <w:webHidden/>
          </w:rPr>
          <w:t>A-5</w:t>
        </w:r>
        <w:r w:rsidR="003D6684">
          <w:rPr>
            <w:noProof/>
            <w:webHidden/>
          </w:rPr>
          <w:fldChar w:fldCharType="end"/>
        </w:r>
      </w:hyperlink>
    </w:p>
    <w:p w14:paraId="57EFFE9C" w14:textId="06F63A96"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2" w:history="1">
        <w:r w:rsidRPr="00535B30">
          <w:rPr>
            <w:rStyle w:val="Hyperlink"/>
            <w:noProof/>
          </w:rPr>
          <w:t>Table A</w:t>
        </w:r>
        <w:r w:rsidRPr="00535B30">
          <w:rPr>
            <w:rStyle w:val="Hyperlink"/>
            <w:noProof/>
          </w:rPr>
          <w:noBreakHyphen/>
          <w:t>2. 2023 Program Persistence Summary</w:t>
        </w:r>
        <w:r>
          <w:rPr>
            <w:noProof/>
            <w:webHidden/>
          </w:rPr>
          <w:tab/>
        </w:r>
        <w:r>
          <w:rPr>
            <w:noProof/>
            <w:webHidden/>
          </w:rPr>
          <w:fldChar w:fldCharType="begin"/>
        </w:r>
        <w:r>
          <w:rPr>
            <w:noProof/>
            <w:webHidden/>
          </w:rPr>
          <w:instrText xml:space="preserve"> PAGEREF _Toc165318882 \h </w:instrText>
        </w:r>
        <w:r>
          <w:rPr>
            <w:noProof/>
            <w:webHidden/>
          </w:rPr>
        </w:r>
        <w:r>
          <w:rPr>
            <w:noProof/>
            <w:webHidden/>
          </w:rPr>
          <w:fldChar w:fldCharType="separate"/>
        </w:r>
        <w:r>
          <w:rPr>
            <w:noProof/>
            <w:webHidden/>
          </w:rPr>
          <w:t>A-7</w:t>
        </w:r>
        <w:r>
          <w:rPr>
            <w:noProof/>
            <w:webHidden/>
          </w:rPr>
          <w:fldChar w:fldCharType="end"/>
        </w:r>
      </w:hyperlink>
    </w:p>
    <w:p w14:paraId="2D079C16" w14:textId="38F0F138"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3" w:history="1">
        <w:r w:rsidRPr="00535B30">
          <w:rPr>
            <w:rStyle w:val="Hyperlink"/>
            <w:noProof/>
          </w:rPr>
          <w:t>Table B</w:t>
        </w:r>
        <w:r w:rsidRPr="00535B30">
          <w:rPr>
            <w:rStyle w:val="Hyperlink"/>
            <w:noProof/>
          </w:rPr>
          <w:noBreakHyphen/>
          <w:t>1. 2023 Savings Results</w:t>
        </w:r>
        <w:r>
          <w:rPr>
            <w:noProof/>
            <w:webHidden/>
          </w:rPr>
          <w:tab/>
        </w:r>
        <w:r>
          <w:rPr>
            <w:noProof/>
            <w:webHidden/>
          </w:rPr>
          <w:fldChar w:fldCharType="begin"/>
        </w:r>
        <w:r>
          <w:rPr>
            <w:noProof/>
            <w:webHidden/>
          </w:rPr>
          <w:instrText xml:space="preserve"> PAGEREF _Toc165318883 \h </w:instrText>
        </w:r>
        <w:r>
          <w:rPr>
            <w:noProof/>
            <w:webHidden/>
          </w:rPr>
        </w:r>
        <w:r>
          <w:rPr>
            <w:noProof/>
            <w:webHidden/>
          </w:rPr>
          <w:fldChar w:fldCharType="separate"/>
        </w:r>
        <w:r>
          <w:rPr>
            <w:noProof/>
            <w:webHidden/>
          </w:rPr>
          <w:t>B-1</w:t>
        </w:r>
        <w:r>
          <w:rPr>
            <w:noProof/>
            <w:webHidden/>
          </w:rPr>
          <w:fldChar w:fldCharType="end"/>
        </w:r>
      </w:hyperlink>
    </w:p>
    <w:p w14:paraId="17FBC3AC" w14:textId="1ED507D9"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4" w:history="1">
        <w:r w:rsidRPr="00535B30">
          <w:rPr>
            <w:rStyle w:val="Hyperlink"/>
            <w:noProof/>
          </w:rPr>
          <w:t>Table B</w:t>
        </w:r>
        <w:r w:rsidRPr="00535B30">
          <w:rPr>
            <w:rStyle w:val="Hyperlink"/>
            <w:noProof/>
          </w:rPr>
          <w:noBreakHyphen/>
          <w:t>2. 2023 Uplift Adjustment Details, Wave 1</w:t>
        </w:r>
        <w:r>
          <w:rPr>
            <w:noProof/>
            <w:webHidden/>
          </w:rPr>
          <w:tab/>
        </w:r>
        <w:r>
          <w:rPr>
            <w:noProof/>
            <w:webHidden/>
          </w:rPr>
          <w:fldChar w:fldCharType="begin"/>
        </w:r>
        <w:r>
          <w:rPr>
            <w:noProof/>
            <w:webHidden/>
          </w:rPr>
          <w:instrText xml:space="preserve"> PAGEREF _Toc165318884 \h </w:instrText>
        </w:r>
        <w:r>
          <w:rPr>
            <w:noProof/>
            <w:webHidden/>
          </w:rPr>
        </w:r>
        <w:r>
          <w:rPr>
            <w:noProof/>
            <w:webHidden/>
          </w:rPr>
          <w:fldChar w:fldCharType="separate"/>
        </w:r>
        <w:r>
          <w:rPr>
            <w:noProof/>
            <w:webHidden/>
          </w:rPr>
          <w:t>B-5</w:t>
        </w:r>
        <w:r>
          <w:rPr>
            <w:noProof/>
            <w:webHidden/>
          </w:rPr>
          <w:fldChar w:fldCharType="end"/>
        </w:r>
      </w:hyperlink>
    </w:p>
    <w:p w14:paraId="308E627F" w14:textId="5BAD882D"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5" w:history="1">
        <w:r w:rsidRPr="00535B30">
          <w:rPr>
            <w:rStyle w:val="Hyperlink"/>
            <w:noProof/>
          </w:rPr>
          <w:t>Table B</w:t>
        </w:r>
        <w:r w:rsidRPr="00535B30">
          <w:rPr>
            <w:rStyle w:val="Hyperlink"/>
            <w:noProof/>
          </w:rPr>
          <w:noBreakHyphen/>
          <w:t>3. 2023 Uplift Adjustment Details, Wave 2</w:t>
        </w:r>
        <w:r>
          <w:rPr>
            <w:noProof/>
            <w:webHidden/>
          </w:rPr>
          <w:tab/>
        </w:r>
        <w:r>
          <w:rPr>
            <w:noProof/>
            <w:webHidden/>
          </w:rPr>
          <w:fldChar w:fldCharType="begin"/>
        </w:r>
        <w:r>
          <w:rPr>
            <w:noProof/>
            <w:webHidden/>
          </w:rPr>
          <w:instrText xml:space="preserve"> PAGEREF _Toc165318885 \h </w:instrText>
        </w:r>
        <w:r>
          <w:rPr>
            <w:noProof/>
            <w:webHidden/>
          </w:rPr>
        </w:r>
        <w:r>
          <w:rPr>
            <w:noProof/>
            <w:webHidden/>
          </w:rPr>
          <w:fldChar w:fldCharType="separate"/>
        </w:r>
        <w:r>
          <w:rPr>
            <w:noProof/>
            <w:webHidden/>
          </w:rPr>
          <w:t>B-6</w:t>
        </w:r>
        <w:r>
          <w:rPr>
            <w:noProof/>
            <w:webHidden/>
          </w:rPr>
          <w:fldChar w:fldCharType="end"/>
        </w:r>
      </w:hyperlink>
    </w:p>
    <w:p w14:paraId="616560C6" w14:textId="158D80CD"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6" w:history="1">
        <w:r w:rsidRPr="00535B30">
          <w:rPr>
            <w:rStyle w:val="Hyperlink"/>
            <w:noProof/>
          </w:rPr>
          <w:t>Table B</w:t>
        </w:r>
        <w:r w:rsidRPr="00535B30">
          <w:rPr>
            <w:rStyle w:val="Hyperlink"/>
            <w:noProof/>
          </w:rPr>
          <w:noBreakHyphen/>
          <w:t>4. 2023 Uplift Adjustment Details, Wave 3</w:t>
        </w:r>
        <w:r>
          <w:rPr>
            <w:noProof/>
            <w:webHidden/>
          </w:rPr>
          <w:tab/>
        </w:r>
        <w:r>
          <w:rPr>
            <w:noProof/>
            <w:webHidden/>
          </w:rPr>
          <w:fldChar w:fldCharType="begin"/>
        </w:r>
        <w:r>
          <w:rPr>
            <w:noProof/>
            <w:webHidden/>
          </w:rPr>
          <w:instrText xml:space="preserve"> PAGEREF _Toc165318886 \h </w:instrText>
        </w:r>
        <w:r>
          <w:rPr>
            <w:noProof/>
            <w:webHidden/>
          </w:rPr>
        </w:r>
        <w:r>
          <w:rPr>
            <w:noProof/>
            <w:webHidden/>
          </w:rPr>
          <w:fldChar w:fldCharType="separate"/>
        </w:r>
        <w:r>
          <w:rPr>
            <w:noProof/>
            <w:webHidden/>
          </w:rPr>
          <w:t>B-6</w:t>
        </w:r>
        <w:r>
          <w:rPr>
            <w:noProof/>
            <w:webHidden/>
          </w:rPr>
          <w:fldChar w:fldCharType="end"/>
        </w:r>
      </w:hyperlink>
    </w:p>
    <w:p w14:paraId="093E8671" w14:textId="21B1EFF4"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87" w:history="1">
        <w:r w:rsidRPr="00535B30">
          <w:rPr>
            <w:rStyle w:val="Hyperlink"/>
            <w:noProof/>
          </w:rPr>
          <w:t>Table C</w:t>
        </w:r>
        <w:r w:rsidRPr="00535B30">
          <w:rPr>
            <w:rStyle w:val="Hyperlink"/>
            <w:noProof/>
          </w:rPr>
          <w:noBreakHyphen/>
          <w:t>1. 2023 Total Resource Cost Savings Summary</w:t>
        </w:r>
        <w:r>
          <w:rPr>
            <w:noProof/>
            <w:webHidden/>
          </w:rPr>
          <w:tab/>
        </w:r>
        <w:r>
          <w:rPr>
            <w:noProof/>
            <w:webHidden/>
          </w:rPr>
          <w:fldChar w:fldCharType="begin"/>
        </w:r>
        <w:r>
          <w:rPr>
            <w:noProof/>
            <w:webHidden/>
          </w:rPr>
          <w:instrText xml:space="preserve"> PAGEREF _Toc165318887 \h </w:instrText>
        </w:r>
        <w:r>
          <w:rPr>
            <w:noProof/>
            <w:webHidden/>
          </w:rPr>
        </w:r>
        <w:r>
          <w:rPr>
            <w:noProof/>
            <w:webHidden/>
          </w:rPr>
          <w:fldChar w:fldCharType="separate"/>
        </w:r>
        <w:r>
          <w:rPr>
            <w:noProof/>
            <w:webHidden/>
          </w:rPr>
          <w:t>C-1</w:t>
        </w:r>
        <w:r>
          <w:rPr>
            <w:noProof/>
            <w:webHidden/>
          </w:rPr>
          <w:fldChar w:fldCharType="end"/>
        </w:r>
      </w:hyperlink>
    </w:p>
    <w:p w14:paraId="48562C02" w14:textId="3EB84FDA" w:rsidR="007571B7" w:rsidRDefault="005618B1" w:rsidP="007571B7">
      <w:r>
        <w:fldChar w:fldCharType="end"/>
      </w:r>
    </w:p>
    <w:p w14:paraId="3F3FB9E4" w14:textId="34288D9C" w:rsidR="003D6684" w:rsidRDefault="007571B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"Figure" </w:instrText>
      </w:r>
      <w:r>
        <w:fldChar w:fldCharType="separate"/>
      </w:r>
      <w:hyperlink w:anchor="_Toc165318803" w:history="1">
        <w:r w:rsidR="003D6684" w:rsidRPr="00EA0E7B">
          <w:rPr>
            <w:rStyle w:val="Hyperlink"/>
            <w:noProof/>
          </w:rPr>
          <w:t>Figure B</w:t>
        </w:r>
        <w:r w:rsidR="003D6684" w:rsidRPr="00EA0E7B">
          <w:rPr>
            <w:rStyle w:val="Hyperlink"/>
            <w:noProof/>
          </w:rPr>
          <w:noBreakHyphen/>
          <w:t>1. 2023 Percent Savings and 90% Confidence Interval, Wave 1</w:t>
        </w:r>
        <w:r w:rsidR="003D6684">
          <w:rPr>
            <w:noProof/>
            <w:webHidden/>
          </w:rPr>
          <w:tab/>
        </w:r>
        <w:r w:rsidR="003D6684">
          <w:rPr>
            <w:noProof/>
            <w:webHidden/>
          </w:rPr>
          <w:fldChar w:fldCharType="begin"/>
        </w:r>
        <w:r w:rsidR="003D6684">
          <w:rPr>
            <w:noProof/>
            <w:webHidden/>
          </w:rPr>
          <w:instrText xml:space="preserve"> PAGEREF _Toc165318803 \h </w:instrText>
        </w:r>
        <w:r w:rsidR="003D6684">
          <w:rPr>
            <w:noProof/>
            <w:webHidden/>
          </w:rPr>
        </w:r>
        <w:r w:rsidR="003D6684">
          <w:rPr>
            <w:noProof/>
            <w:webHidden/>
          </w:rPr>
          <w:fldChar w:fldCharType="separate"/>
        </w:r>
        <w:r w:rsidR="003D6684">
          <w:rPr>
            <w:noProof/>
            <w:webHidden/>
          </w:rPr>
          <w:t>B-2</w:t>
        </w:r>
        <w:r w:rsidR="003D6684">
          <w:rPr>
            <w:noProof/>
            <w:webHidden/>
          </w:rPr>
          <w:fldChar w:fldCharType="end"/>
        </w:r>
      </w:hyperlink>
    </w:p>
    <w:p w14:paraId="0ACB4702" w14:textId="1333E0D2"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04" w:history="1">
        <w:r w:rsidRPr="00EA0E7B">
          <w:rPr>
            <w:rStyle w:val="Hyperlink"/>
            <w:noProof/>
          </w:rPr>
          <w:t>Figure B</w:t>
        </w:r>
        <w:r w:rsidRPr="00EA0E7B">
          <w:rPr>
            <w:rStyle w:val="Hyperlink"/>
            <w:noProof/>
          </w:rPr>
          <w:noBreakHyphen/>
          <w:t>2. 2023 Percent Savings and 90% Confidence Interval, Wave 2</w:t>
        </w:r>
        <w:r>
          <w:rPr>
            <w:noProof/>
            <w:webHidden/>
          </w:rPr>
          <w:tab/>
        </w:r>
        <w:r>
          <w:rPr>
            <w:noProof/>
            <w:webHidden/>
          </w:rPr>
          <w:fldChar w:fldCharType="begin"/>
        </w:r>
        <w:r>
          <w:rPr>
            <w:noProof/>
            <w:webHidden/>
          </w:rPr>
          <w:instrText xml:space="preserve"> PAGEREF _Toc165318804 \h </w:instrText>
        </w:r>
        <w:r>
          <w:rPr>
            <w:noProof/>
            <w:webHidden/>
          </w:rPr>
        </w:r>
        <w:r>
          <w:rPr>
            <w:noProof/>
            <w:webHidden/>
          </w:rPr>
          <w:fldChar w:fldCharType="separate"/>
        </w:r>
        <w:r>
          <w:rPr>
            <w:noProof/>
            <w:webHidden/>
          </w:rPr>
          <w:t>B-3</w:t>
        </w:r>
        <w:r>
          <w:rPr>
            <w:noProof/>
            <w:webHidden/>
          </w:rPr>
          <w:fldChar w:fldCharType="end"/>
        </w:r>
      </w:hyperlink>
    </w:p>
    <w:p w14:paraId="336FCFC6" w14:textId="53947215"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805" w:history="1">
        <w:r w:rsidRPr="00EA0E7B">
          <w:rPr>
            <w:rStyle w:val="Hyperlink"/>
            <w:noProof/>
          </w:rPr>
          <w:t>Figure B</w:t>
        </w:r>
        <w:r w:rsidRPr="00EA0E7B">
          <w:rPr>
            <w:rStyle w:val="Hyperlink"/>
            <w:noProof/>
          </w:rPr>
          <w:noBreakHyphen/>
          <w:t>3. 2023 Percent Savings and 90% Confidence Interval, Wave 3</w:t>
        </w:r>
        <w:r>
          <w:rPr>
            <w:noProof/>
            <w:webHidden/>
          </w:rPr>
          <w:tab/>
        </w:r>
        <w:r>
          <w:rPr>
            <w:noProof/>
            <w:webHidden/>
          </w:rPr>
          <w:fldChar w:fldCharType="begin"/>
        </w:r>
        <w:r>
          <w:rPr>
            <w:noProof/>
            <w:webHidden/>
          </w:rPr>
          <w:instrText xml:space="preserve"> PAGEREF _Toc165318805 \h </w:instrText>
        </w:r>
        <w:r>
          <w:rPr>
            <w:noProof/>
            <w:webHidden/>
          </w:rPr>
        </w:r>
        <w:r>
          <w:rPr>
            <w:noProof/>
            <w:webHidden/>
          </w:rPr>
          <w:fldChar w:fldCharType="separate"/>
        </w:r>
        <w:r>
          <w:rPr>
            <w:noProof/>
            <w:webHidden/>
          </w:rPr>
          <w:t>B-4</w:t>
        </w:r>
        <w:r>
          <w:rPr>
            <w:noProof/>
            <w:webHidden/>
          </w:rPr>
          <w:fldChar w:fldCharType="end"/>
        </w:r>
      </w:hyperlink>
    </w:p>
    <w:p w14:paraId="5789B0E8" w14:textId="6382B3AC" w:rsidR="003D6684" w:rsidRDefault="007571B7" w:rsidP="007571B7">
      <w:pPr>
        <w:rPr>
          <w:noProof/>
        </w:rPr>
      </w:pPr>
      <w:r>
        <w:fldChar w:fldCharType="end"/>
      </w:r>
      <w:r>
        <w:fldChar w:fldCharType="begin"/>
      </w:r>
      <w:r>
        <w:instrText xml:space="preserve"> TOC \h \z \c "Equation" </w:instrText>
      </w:r>
      <w:r>
        <w:fldChar w:fldCharType="separate"/>
      </w:r>
    </w:p>
    <w:p w14:paraId="5854A1AD" w14:textId="664BA57B"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796" w:history="1">
        <w:r w:rsidRPr="00B7404E">
          <w:rPr>
            <w:rStyle w:val="Hyperlink"/>
            <w:noProof/>
          </w:rPr>
          <w:t>Equation A</w:t>
        </w:r>
        <w:r w:rsidRPr="00B7404E">
          <w:rPr>
            <w:rStyle w:val="Hyperlink"/>
            <w:noProof/>
          </w:rPr>
          <w:noBreakHyphen/>
          <w:t>1. Lagged Dependent Variable Regression Model</w:t>
        </w:r>
        <w:r>
          <w:rPr>
            <w:noProof/>
            <w:webHidden/>
          </w:rPr>
          <w:tab/>
        </w:r>
        <w:r>
          <w:rPr>
            <w:noProof/>
            <w:webHidden/>
          </w:rPr>
          <w:fldChar w:fldCharType="begin"/>
        </w:r>
        <w:r>
          <w:rPr>
            <w:noProof/>
            <w:webHidden/>
          </w:rPr>
          <w:instrText xml:space="preserve"> PAGEREF _Toc165318796 \h </w:instrText>
        </w:r>
        <w:r>
          <w:rPr>
            <w:noProof/>
            <w:webHidden/>
          </w:rPr>
        </w:r>
        <w:r>
          <w:rPr>
            <w:noProof/>
            <w:webHidden/>
          </w:rPr>
          <w:fldChar w:fldCharType="separate"/>
        </w:r>
        <w:r>
          <w:rPr>
            <w:noProof/>
            <w:webHidden/>
          </w:rPr>
          <w:t>A-2</w:t>
        </w:r>
        <w:r>
          <w:rPr>
            <w:noProof/>
            <w:webHidden/>
          </w:rPr>
          <w:fldChar w:fldCharType="end"/>
        </w:r>
      </w:hyperlink>
    </w:p>
    <w:p w14:paraId="41CB4B2E" w14:textId="4572650A"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797" w:history="1">
        <w:r w:rsidRPr="00B7404E">
          <w:rPr>
            <w:rStyle w:val="Hyperlink"/>
            <w:noProof/>
          </w:rPr>
          <w:t>Equation A</w:t>
        </w:r>
        <w:r w:rsidRPr="00B7404E">
          <w:rPr>
            <w:rStyle w:val="Hyperlink"/>
            <w:noProof/>
          </w:rPr>
          <w:noBreakHyphen/>
          <w:t>2. Linear Fixed Effects Regression Model</w:t>
        </w:r>
        <w:r>
          <w:rPr>
            <w:noProof/>
            <w:webHidden/>
          </w:rPr>
          <w:tab/>
        </w:r>
        <w:r>
          <w:rPr>
            <w:noProof/>
            <w:webHidden/>
          </w:rPr>
          <w:fldChar w:fldCharType="begin"/>
        </w:r>
        <w:r>
          <w:rPr>
            <w:noProof/>
            <w:webHidden/>
          </w:rPr>
          <w:instrText xml:space="preserve"> PAGEREF _Toc165318797 \h </w:instrText>
        </w:r>
        <w:r>
          <w:rPr>
            <w:noProof/>
            <w:webHidden/>
          </w:rPr>
        </w:r>
        <w:r>
          <w:rPr>
            <w:noProof/>
            <w:webHidden/>
          </w:rPr>
          <w:fldChar w:fldCharType="separate"/>
        </w:r>
        <w:r>
          <w:rPr>
            <w:noProof/>
            <w:webHidden/>
          </w:rPr>
          <w:t>A-2</w:t>
        </w:r>
        <w:r>
          <w:rPr>
            <w:noProof/>
            <w:webHidden/>
          </w:rPr>
          <w:fldChar w:fldCharType="end"/>
        </w:r>
      </w:hyperlink>
    </w:p>
    <w:p w14:paraId="2F0FFBAE" w14:textId="71234CF3"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798" w:history="1">
        <w:r w:rsidRPr="00B7404E">
          <w:rPr>
            <w:rStyle w:val="Hyperlink"/>
            <w:noProof/>
          </w:rPr>
          <w:t>Equation A</w:t>
        </w:r>
        <w:r w:rsidRPr="00B7404E">
          <w:rPr>
            <w:rStyle w:val="Hyperlink"/>
            <w:noProof/>
          </w:rPr>
          <w:noBreakHyphen/>
          <w:t>3. Current Year Uplift Calculation</w:t>
        </w:r>
        <w:r>
          <w:rPr>
            <w:noProof/>
            <w:webHidden/>
          </w:rPr>
          <w:tab/>
        </w:r>
        <w:r>
          <w:rPr>
            <w:noProof/>
            <w:webHidden/>
          </w:rPr>
          <w:fldChar w:fldCharType="begin"/>
        </w:r>
        <w:r>
          <w:rPr>
            <w:noProof/>
            <w:webHidden/>
          </w:rPr>
          <w:instrText xml:space="preserve"> PAGEREF _Toc165318798 \h </w:instrText>
        </w:r>
        <w:r>
          <w:rPr>
            <w:noProof/>
            <w:webHidden/>
          </w:rPr>
        </w:r>
        <w:r>
          <w:rPr>
            <w:noProof/>
            <w:webHidden/>
          </w:rPr>
          <w:fldChar w:fldCharType="separate"/>
        </w:r>
        <w:r>
          <w:rPr>
            <w:noProof/>
            <w:webHidden/>
          </w:rPr>
          <w:t>A-3</w:t>
        </w:r>
        <w:r>
          <w:rPr>
            <w:noProof/>
            <w:webHidden/>
          </w:rPr>
          <w:fldChar w:fldCharType="end"/>
        </w:r>
      </w:hyperlink>
    </w:p>
    <w:p w14:paraId="1336FF21" w14:textId="1D1DF7BA" w:rsidR="003D6684" w:rsidRDefault="003D6684">
      <w:pPr>
        <w:pStyle w:val="TableofFigures"/>
        <w:rPr>
          <w:rFonts w:asciiTheme="minorHAnsi" w:eastAsiaTheme="minorEastAsia" w:hAnsiTheme="minorHAnsi" w:cstheme="minorBidi"/>
          <w:noProof/>
          <w:kern w:val="2"/>
          <w:szCs w:val="22"/>
          <w14:ligatures w14:val="standardContextual"/>
        </w:rPr>
      </w:pPr>
      <w:hyperlink w:anchor="_Toc165318799" w:history="1">
        <w:r w:rsidRPr="00B7404E">
          <w:rPr>
            <w:rStyle w:val="Hyperlink"/>
            <w:noProof/>
          </w:rPr>
          <w:t>Equation A</w:t>
        </w:r>
        <w:r w:rsidRPr="00B7404E">
          <w:rPr>
            <w:rStyle w:val="Hyperlink"/>
            <w:noProof/>
          </w:rPr>
          <w:noBreakHyphen/>
          <w:t>4. Legacy Uplift Calculation</w:t>
        </w:r>
        <w:r>
          <w:rPr>
            <w:noProof/>
            <w:webHidden/>
          </w:rPr>
          <w:tab/>
        </w:r>
        <w:r>
          <w:rPr>
            <w:noProof/>
            <w:webHidden/>
          </w:rPr>
          <w:fldChar w:fldCharType="begin"/>
        </w:r>
        <w:r>
          <w:rPr>
            <w:noProof/>
            <w:webHidden/>
          </w:rPr>
          <w:instrText xml:space="preserve"> PAGEREF _Toc165318799 \h </w:instrText>
        </w:r>
        <w:r>
          <w:rPr>
            <w:noProof/>
            <w:webHidden/>
          </w:rPr>
        </w:r>
        <w:r>
          <w:rPr>
            <w:noProof/>
            <w:webHidden/>
          </w:rPr>
          <w:fldChar w:fldCharType="separate"/>
        </w:r>
        <w:r>
          <w:rPr>
            <w:noProof/>
            <w:webHidden/>
          </w:rPr>
          <w:t>A-5</w:t>
        </w:r>
        <w:r>
          <w:rPr>
            <w:noProof/>
            <w:webHidden/>
          </w:rPr>
          <w:fldChar w:fldCharType="end"/>
        </w:r>
      </w:hyperlink>
    </w:p>
    <w:p w14:paraId="0598D06D" w14:textId="6A1E3923" w:rsidR="005618B1" w:rsidRPr="005618B1" w:rsidRDefault="007571B7" w:rsidP="007571B7">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5145387"/>
      <w:r>
        <w:lastRenderedPageBreak/>
        <w:t>Introduction</w:t>
      </w:r>
      <w:bookmarkEnd w:id="0"/>
    </w:p>
    <w:p w14:paraId="195F7708" w14:textId="441DE0D0" w:rsidR="0062325C" w:rsidRPr="0062325C" w:rsidRDefault="0062325C" w:rsidP="0062325C">
      <w:pPr>
        <w:pStyle w:val="BodyText"/>
      </w:pPr>
      <w:r w:rsidRPr="0062325C">
        <w:t>This report presents the results of the impact evaluation of the Nicor Gas Home Energy Report (HER) Program</w:t>
      </w:r>
      <w:r w:rsidR="003443AD">
        <w:t>,</w:t>
      </w:r>
      <w:r w:rsidRPr="0062325C">
        <w:t xml:space="preserve"> including a summary of the energy impacts for the total program</w:t>
      </w:r>
      <w:r w:rsidR="003443AD">
        <w:t>, as well as r</w:t>
      </w:r>
      <w:r w:rsidRPr="0062325C">
        <w:t>elevant measure and program structure details. The appendices provide the impact analysis methodology and details of the total resource cost (TRC) inputs. Program year 202</w:t>
      </w:r>
      <w:r>
        <w:t>3</w:t>
      </w:r>
      <w:r w:rsidRPr="0062325C">
        <w:t xml:space="preserve"> covers January 1, </w:t>
      </w:r>
      <w:proofErr w:type="gramStart"/>
      <w:r w:rsidRPr="0062325C">
        <w:t>202</w:t>
      </w:r>
      <w:r>
        <w:t>3</w:t>
      </w:r>
      <w:proofErr w:type="gramEnd"/>
      <w:r w:rsidRPr="0062325C">
        <w:t xml:space="preserve"> through December 31, 202</w:t>
      </w:r>
      <w:r>
        <w:t>3</w:t>
      </w:r>
      <w:r w:rsidRPr="0062325C">
        <w:t>.</w:t>
      </w:r>
    </w:p>
    <w:p w14:paraId="2ED7F046" w14:textId="77777777" w:rsidR="00C00025" w:rsidRDefault="00C00025" w:rsidP="00CE5320">
      <w:pPr>
        <w:pStyle w:val="Heading1"/>
      </w:pPr>
      <w:bookmarkStart w:id="1" w:name="_Toc165145388"/>
      <w:bookmarkStart w:id="2" w:name="_Toc241481251"/>
      <w:bookmarkStart w:id="3" w:name="_Toc255776003"/>
      <w:r>
        <w:t>Program Description</w:t>
      </w:r>
      <w:bookmarkEnd w:id="1"/>
    </w:p>
    <w:p w14:paraId="7AFA8E09" w14:textId="77777777" w:rsidR="0062325C" w:rsidRDefault="0062325C" w:rsidP="0062325C">
      <w:pPr>
        <w:pStyle w:val="BodyText"/>
      </w:pPr>
      <w:bookmarkStart w:id="4" w:name="_Ref38883149"/>
      <w:bookmarkStart w:id="5" w:name="_Toc38883092"/>
      <w:r>
        <w:t>The HER Program is designed to generate energy savings by providing residential customers with information about energy use and conservation strategies. Program participants receive information from regularly mailed and emailed home energy reports, including:</w:t>
      </w:r>
    </w:p>
    <w:p w14:paraId="7927F8FC" w14:textId="77777777" w:rsidR="0062325C" w:rsidRDefault="0062325C" w:rsidP="0062325C">
      <w:pPr>
        <w:pStyle w:val="BodyText"/>
        <w:numPr>
          <w:ilvl w:val="0"/>
          <w:numId w:val="36"/>
        </w:numPr>
      </w:pPr>
      <w:r>
        <w:t xml:space="preserve">Assessment of how their recent energy use compares to their past energy </w:t>
      </w:r>
      <w:proofErr w:type="gramStart"/>
      <w:r>
        <w:t>use</w:t>
      </w:r>
      <w:proofErr w:type="gramEnd"/>
    </w:p>
    <w:p w14:paraId="0D87D65C" w14:textId="77777777" w:rsidR="0062325C" w:rsidRDefault="0062325C" w:rsidP="0062325C">
      <w:pPr>
        <w:pStyle w:val="BodyText"/>
        <w:numPr>
          <w:ilvl w:val="0"/>
          <w:numId w:val="36"/>
        </w:numPr>
      </w:pPr>
      <w:r>
        <w:t xml:space="preserve">Tips on how to reduce energy consumption, some of which are tailored to the customer’s </w:t>
      </w:r>
      <w:proofErr w:type="gramStart"/>
      <w:r>
        <w:t>circumstances</w:t>
      </w:r>
      <w:proofErr w:type="gramEnd"/>
    </w:p>
    <w:p w14:paraId="2F372FCF" w14:textId="77777777" w:rsidR="0062325C" w:rsidRPr="007D6E16" w:rsidRDefault="0062325C" w:rsidP="0062325C">
      <w:pPr>
        <w:pStyle w:val="BodyText"/>
        <w:numPr>
          <w:ilvl w:val="0"/>
          <w:numId w:val="36"/>
        </w:numPr>
      </w:pPr>
      <w:r>
        <w:t xml:space="preserve">Information on how their energy use compares to that of neighbors with similar </w:t>
      </w:r>
      <w:proofErr w:type="gramStart"/>
      <w:r>
        <w:t>homes</w:t>
      </w:r>
      <w:proofErr w:type="gramEnd"/>
    </w:p>
    <w:p w14:paraId="40AFB43C" w14:textId="1C0EF4BA" w:rsidR="004F0F97" w:rsidRDefault="0062325C" w:rsidP="00685124">
      <w:r>
        <w:t xml:space="preserve">An important feature of the Nicor Gas HER program is that it is designed as a randomized controlled trial (RCT). To estimate changes in </w:t>
      </w:r>
      <w:proofErr w:type="gramStart"/>
      <w:r>
        <w:t>energy</w:t>
      </w:r>
      <w:proofErr w:type="gramEnd"/>
      <w:r>
        <w:t xml:space="preserve"> use due to the program, customers in each target group of residential customers were randomly assigned to either the recipient group or the control (non-recipient) group.</w:t>
      </w:r>
      <w:r>
        <w:rPr>
          <w:rStyle w:val="CommentReference"/>
        </w:rPr>
        <w:t xml:space="preserve"> </w:t>
      </w:r>
      <w:r>
        <w:t xml:space="preserve">Customers may opt </w:t>
      </w:r>
      <w:r w:rsidRPr="00C33DAA">
        <w:rPr>
          <w:i/>
        </w:rPr>
        <w:t>out</w:t>
      </w:r>
      <w:r>
        <w:t xml:space="preserve"> of the program at any time but cannot opt </w:t>
      </w:r>
      <w:r w:rsidRPr="00C33DAA">
        <w:rPr>
          <w:i/>
        </w:rPr>
        <w:t>in</w:t>
      </w:r>
      <w:r>
        <w:t xml:space="preserve"> due to the RCT design. An implication of the RCT design is that the savings estimates are intrinsically net of free-ridership and most spillover bias. </w:t>
      </w:r>
    </w:p>
    <w:p w14:paraId="7B8622AC" w14:textId="77777777" w:rsidR="00685124" w:rsidRPr="00685124" w:rsidRDefault="00685124" w:rsidP="00685124">
      <w:pPr>
        <w:rPr>
          <w:sz w:val="20"/>
        </w:rPr>
      </w:pPr>
    </w:p>
    <w:p w14:paraId="61F73A3A" w14:textId="399A65E6" w:rsidR="00685124" w:rsidRDefault="00685124" w:rsidP="00685124">
      <w:pPr>
        <w:spacing w:line="240" w:lineRule="exact"/>
      </w:pPr>
      <w:r w:rsidRPr="00FC75E5">
        <w:rPr>
          <w:rFonts w:cs="Arial"/>
          <w:color w:val="000000"/>
          <w:szCs w:val="22"/>
        </w:rPr>
        <w:t xml:space="preserve">The </w:t>
      </w:r>
      <w:r w:rsidRPr="00FA03A3">
        <w:rPr>
          <w:rFonts w:cs="Arial"/>
          <w:color w:val="000000"/>
          <w:szCs w:val="22"/>
        </w:rPr>
        <w:t>Nicor Gas HER program include</w:t>
      </w:r>
      <w:r w:rsidR="008D7DCE">
        <w:rPr>
          <w:rFonts w:cs="Arial"/>
          <w:color w:val="000000"/>
          <w:szCs w:val="22"/>
        </w:rPr>
        <w:t>d</w:t>
      </w:r>
      <w:r w:rsidRPr="00FA03A3">
        <w:rPr>
          <w:rFonts w:cs="Arial"/>
          <w:color w:val="000000"/>
          <w:szCs w:val="22"/>
        </w:rPr>
        <w:t xml:space="preserve"> three waves in 2023. Wave 1 was launched in October 201</w:t>
      </w:r>
      <w:r w:rsidR="005B3CDB" w:rsidRPr="00FA03A3">
        <w:rPr>
          <w:rFonts w:cs="Arial"/>
          <w:color w:val="000000"/>
          <w:szCs w:val="22"/>
        </w:rPr>
        <w:t xml:space="preserve">9, </w:t>
      </w:r>
      <w:r w:rsidRPr="00FA03A3">
        <w:rPr>
          <w:rFonts w:cs="Arial"/>
          <w:color w:val="000000"/>
          <w:szCs w:val="22"/>
        </w:rPr>
        <w:t>Wave 2</w:t>
      </w:r>
      <w:r w:rsidR="005B3CDB" w:rsidRPr="00FA03A3">
        <w:rPr>
          <w:rFonts w:cs="Arial"/>
          <w:color w:val="000000"/>
          <w:szCs w:val="22"/>
        </w:rPr>
        <w:t xml:space="preserve"> </w:t>
      </w:r>
      <w:r w:rsidRPr="00FA03A3">
        <w:rPr>
          <w:rFonts w:cs="Arial"/>
          <w:color w:val="000000"/>
          <w:szCs w:val="22"/>
        </w:rPr>
        <w:t>was launched in September 2020</w:t>
      </w:r>
      <w:r w:rsidR="005B3CDB" w:rsidRPr="00FA03A3">
        <w:rPr>
          <w:rFonts w:cs="Arial"/>
          <w:color w:val="000000"/>
          <w:szCs w:val="22"/>
        </w:rPr>
        <w:t>,</w:t>
      </w:r>
      <w:r w:rsidR="005B3CDB">
        <w:rPr>
          <w:rFonts w:cs="Arial"/>
          <w:color w:val="000000"/>
          <w:szCs w:val="22"/>
        </w:rPr>
        <w:t xml:space="preserve"> and </w:t>
      </w:r>
      <w:r>
        <w:rPr>
          <w:rFonts w:cs="Arial"/>
          <w:color w:val="000000"/>
          <w:szCs w:val="22"/>
        </w:rPr>
        <w:t xml:space="preserve">Wave 3 was </w:t>
      </w:r>
      <w:r w:rsidR="00BF039A">
        <w:rPr>
          <w:rFonts w:cs="Arial"/>
          <w:color w:val="000000"/>
          <w:szCs w:val="22"/>
        </w:rPr>
        <w:t xml:space="preserve">also </w:t>
      </w:r>
      <w:r>
        <w:rPr>
          <w:rFonts w:cs="Arial"/>
          <w:color w:val="000000"/>
          <w:szCs w:val="22"/>
        </w:rPr>
        <w:t xml:space="preserve">launched in </w:t>
      </w:r>
      <w:r w:rsidRPr="009B04CE">
        <w:rPr>
          <w:rFonts w:cs="Arial"/>
          <w:color w:val="000000"/>
          <w:szCs w:val="22"/>
        </w:rPr>
        <w:t>September</w:t>
      </w:r>
      <w:r>
        <w:rPr>
          <w:rFonts w:cs="Arial"/>
          <w:color w:val="000000"/>
          <w:szCs w:val="22"/>
        </w:rPr>
        <w:t xml:space="preserve"> </w:t>
      </w:r>
      <w:r w:rsidR="005B3CDB">
        <w:rPr>
          <w:rFonts w:cs="Arial"/>
          <w:color w:val="000000"/>
          <w:szCs w:val="22"/>
        </w:rPr>
        <w:t>2020.</w:t>
      </w:r>
      <w:r w:rsidR="00BF039A">
        <w:rPr>
          <w:rStyle w:val="FootnoteReference"/>
          <w:rFonts w:cs="Arial"/>
          <w:szCs w:val="22"/>
        </w:rPr>
        <w:footnoteReference w:id="1"/>
      </w:r>
      <w:r>
        <w:rPr>
          <w:rFonts w:cs="Arial"/>
          <w:color w:val="000000"/>
          <w:szCs w:val="22"/>
        </w:rPr>
        <w:t xml:space="preserve"> </w:t>
      </w:r>
      <w:r w:rsidR="00E13F91">
        <w:rPr>
          <w:rFonts w:cs="Arial"/>
          <w:color w:val="000000"/>
          <w:szCs w:val="22"/>
        </w:rPr>
        <w:fldChar w:fldCharType="begin"/>
      </w:r>
      <w:r w:rsidR="00E13F91">
        <w:rPr>
          <w:rFonts w:cs="Arial"/>
          <w:color w:val="000000"/>
          <w:szCs w:val="22"/>
        </w:rPr>
        <w:instrText xml:space="preserve"> REF _Ref164083635 \h </w:instrText>
      </w:r>
      <w:r w:rsidR="00E13F91">
        <w:rPr>
          <w:rFonts w:cs="Arial"/>
          <w:color w:val="000000"/>
          <w:szCs w:val="22"/>
        </w:rPr>
      </w:r>
      <w:r w:rsidR="00E13F91">
        <w:rPr>
          <w:rFonts w:cs="Arial"/>
          <w:color w:val="000000"/>
          <w:szCs w:val="22"/>
        </w:rPr>
        <w:fldChar w:fldCharType="separate"/>
      </w:r>
      <w:r w:rsidR="00571E01">
        <w:t xml:space="preserve">Table </w:t>
      </w:r>
      <w:r w:rsidR="00571E01">
        <w:rPr>
          <w:noProof/>
        </w:rPr>
        <w:t>1</w:t>
      </w:r>
      <w:r w:rsidR="00E13F91">
        <w:rPr>
          <w:rFonts w:cs="Arial"/>
          <w:color w:val="000000"/>
          <w:szCs w:val="22"/>
        </w:rPr>
        <w:fldChar w:fldCharType="end"/>
      </w:r>
      <w:r w:rsidR="00E13F91">
        <w:rPr>
          <w:rFonts w:cs="Arial"/>
          <w:color w:val="000000"/>
          <w:szCs w:val="22"/>
        </w:rPr>
        <w:t xml:space="preserve"> </w:t>
      </w:r>
      <w:r>
        <w:t>shows active accounts at the beginning of the evaluation period, January 2023 for Waves 1</w:t>
      </w:r>
      <w:r w:rsidR="00C9589E">
        <w:t xml:space="preserve"> through </w:t>
      </w:r>
      <w:r>
        <w:t>3.</w:t>
      </w:r>
    </w:p>
    <w:p w14:paraId="31FED522" w14:textId="77777777" w:rsidR="004F0F97" w:rsidRPr="00E8651B" w:rsidRDefault="004F0F97" w:rsidP="004F0F97"/>
    <w:p w14:paraId="77F10D76" w14:textId="7C7DDE1E" w:rsidR="0030598E" w:rsidRDefault="0030598E" w:rsidP="0030598E">
      <w:pPr>
        <w:pStyle w:val="Caption"/>
      </w:pPr>
      <w:bookmarkStart w:id="6" w:name="_Ref164083635"/>
      <w:bookmarkStart w:id="7" w:name="_Toc165318817"/>
      <w:r>
        <w:t xml:space="preserve">Table </w:t>
      </w:r>
      <w:fldSimple w:instr=" SEQ Table \* ARABIC \s 5 ">
        <w:r w:rsidR="009428DA">
          <w:rPr>
            <w:noProof/>
          </w:rPr>
          <w:t>1</w:t>
        </w:r>
      </w:fldSimple>
      <w:bookmarkEnd w:id="4"/>
      <w:bookmarkEnd w:id="6"/>
      <w:r>
        <w:t xml:space="preserve">. </w:t>
      </w:r>
      <w:r w:rsidR="00E27342">
        <w:t>2023</w:t>
      </w:r>
      <w:r>
        <w:t xml:space="preserve"> Volumetric Findings Detail</w:t>
      </w:r>
      <w:bookmarkEnd w:id="5"/>
      <w:bookmarkEnd w:id="7"/>
    </w:p>
    <w:tbl>
      <w:tblPr>
        <w:tblStyle w:val="EnergyTable"/>
        <w:tblW w:w="2800" w:type="pct"/>
        <w:tblLook w:val="04A0" w:firstRow="1" w:lastRow="0" w:firstColumn="1" w:lastColumn="0" w:noHBand="0" w:noVBand="1"/>
      </w:tblPr>
      <w:tblGrid>
        <w:gridCol w:w="1442"/>
        <w:gridCol w:w="1798"/>
        <w:gridCol w:w="2002"/>
      </w:tblGrid>
      <w:tr w:rsidR="00685124" w:rsidRPr="00A90B62" w14:paraId="21D74950" w14:textId="11FB9E5E" w:rsidTr="00685124">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375" w:type="pct"/>
            <w:hideMark/>
          </w:tcPr>
          <w:p w14:paraId="1C5C02CD" w14:textId="1B4ABB87" w:rsidR="00685124" w:rsidRPr="002E5EE9" w:rsidRDefault="00685124" w:rsidP="004F0F97">
            <w:pPr>
              <w:keepNext/>
              <w:keepLines/>
              <w:jc w:val="left"/>
              <w:rPr>
                <w:rFonts w:ascii="Arial Narrow" w:eastAsia="Calibri" w:hAnsi="Arial Narrow"/>
                <w:b w:val="0"/>
                <w:bCs/>
              </w:rPr>
            </w:pPr>
            <w:r>
              <w:rPr>
                <w:rFonts w:ascii="Arial Narrow" w:hAnsi="Arial Narrow"/>
                <w:b w:val="0"/>
                <w:bCs/>
              </w:rPr>
              <w:t>Wave</w:t>
            </w:r>
          </w:p>
        </w:tc>
        <w:tc>
          <w:tcPr>
            <w:tcW w:w="1715" w:type="pct"/>
            <w:hideMark/>
          </w:tcPr>
          <w:p w14:paraId="7C31E97D" w14:textId="31D88CDC" w:rsidR="00685124" w:rsidRPr="00685124" w:rsidRDefault="00685124"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rPr>
            </w:pPr>
            <w:r w:rsidRPr="00685124">
              <w:rPr>
                <w:rFonts w:ascii="Arial Narrow" w:hAnsi="Arial Narrow"/>
              </w:rPr>
              <w:t>Participant Count</w:t>
            </w:r>
          </w:p>
        </w:tc>
        <w:tc>
          <w:tcPr>
            <w:tcW w:w="1910" w:type="pct"/>
          </w:tcPr>
          <w:p w14:paraId="7CF724FB" w14:textId="04BC3AC1" w:rsidR="00685124" w:rsidRDefault="00685124"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Control Count</w:t>
            </w:r>
          </w:p>
        </w:tc>
      </w:tr>
      <w:tr w:rsidR="00685124" w:rsidRPr="00A90B62" w14:paraId="702E6A72" w14:textId="3052B12A" w:rsidTr="0068512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375" w:type="pct"/>
            <w:noWrap/>
          </w:tcPr>
          <w:p w14:paraId="5B2440ED" w14:textId="1804E3FF" w:rsidR="00685124" w:rsidRPr="00BF039A" w:rsidRDefault="00685124" w:rsidP="004F0F97">
            <w:pPr>
              <w:keepNext/>
              <w:keepLines/>
              <w:jc w:val="left"/>
              <w:rPr>
                <w:rFonts w:ascii="Arial Narrow" w:eastAsia="Calibri" w:hAnsi="Arial Narrow"/>
                <w:color w:val="000000"/>
              </w:rPr>
            </w:pPr>
            <w:r w:rsidRPr="00BF039A">
              <w:rPr>
                <w:rFonts w:ascii="Arial Narrow" w:eastAsia="Calibri" w:hAnsi="Arial Narrow"/>
                <w:color w:val="000000"/>
              </w:rPr>
              <w:t>Wave 1</w:t>
            </w:r>
          </w:p>
        </w:tc>
        <w:tc>
          <w:tcPr>
            <w:tcW w:w="1715" w:type="pct"/>
          </w:tcPr>
          <w:p w14:paraId="75C3B61D" w14:textId="66D9BC1A" w:rsidR="00685124" w:rsidRPr="00BF039A" w:rsidRDefault="00685124" w:rsidP="004F0F9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BF039A">
              <w:rPr>
                <w:rFonts w:ascii="Arial Narrow" w:eastAsia="Calibri" w:hAnsi="Arial Narrow"/>
                <w:color w:val="000000"/>
              </w:rPr>
              <w:t>127,207</w:t>
            </w:r>
          </w:p>
        </w:tc>
        <w:tc>
          <w:tcPr>
            <w:tcW w:w="1910" w:type="pct"/>
          </w:tcPr>
          <w:p w14:paraId="6F635506" w14:textId="7DF89BC9" w:rsidR="00685124" w:rsidRPr="00BF039A" w:rsidRDefault="00DF56F5" w:rsidP="004F0F9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BF039A">
              <w:rPr>
                <w:rFonts w:ascii="Arial Narrow" w:eastAsia="Calibri" w:hAnsi="Arial Narrow"/>
                <w:color w:val="000000"/>
              </w:rPr>
              <w:t>37,037</w:t>
            </w:r>
          </w:p>
        </w:tc>
      </w:tr>
      <w:tr w:rsidR="00685124" w:rsidRPr="00A90B62" w14:paraId="232B240A" w14:textId="50C1ACEE" w:rsidTr="00685124">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375" w:type="pct"/>
            <w:noWrap/>
          </w:tcPr>
          <w:p w14:paraId="6844D256" w14:textId="7C1A56C7" w:rsidR="00685124" w:rsidRPr="00BF039A" w:rsidRDefault="00685124" w:rsidP="00685124">
            <w:pPr>
              <w:keepNext/>
              <w:keepLines/>
              <w:jc w:val="left"/>
              <w:rPr>
                <w:rFonts w:ascii="Arial Narrow" w:eastAsia="Calibri" w:hAnsi="Arial Narrow"/>
                <w:color w:val="000000"/>
              </w:rPr>
            </w:pPr>
            <w:r w:rsidRPr="00BF039A">
              <w:rPr>
                <w:rFonts w:ascii="Arial Narrow" w:eastAsia="Calibri" w:hAnsi="Arial Narrow"/>
                <w:color w:val="000000"/>
              </w:rPr>
              <w:t>Wave 2</w:t>
            </w:r>
          </w:p>
        </w:tc>
        <w:tc>
          <w:tcPr>
            <w:tcW w:w="1715" w:type="pct"/>
          </w:tcPr>
          <w:p w14:paraId="3346189E" w14:textId="697133C1" w:rsidR="00685124" w:rsidRPr="00BF039A" w:rsidRDefault="00685124" w:rsidP="004F0F9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BF039A">
              <w:rPr>
                <w:rFonts w:ascii="Arial Narrow" w:eastAsia="Calibri" w:hAnsi="Arial Narrow"/>
                <w:color w:val="000000"/>
              </w:rPr>
              <w:t>173,827</w:t>
            </w:r>
          </w:p>
        </w:tc>
        <w:tc>
          <w:tcPr>
            <w:tcW w:w="1910" w:type="pct"/>
          </w:tcPr>
          <w:p w14:paraId="31141A14" w14:textId="324387CA" w:rsidR="00685124" w:rsidRPr="00BF039A" w:rsidRDefault="00685124" w:rsidP="004F0F9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BF039A">
              <w:rPr>
                <w:rFonts w:ascii="Arial Narrow" w:eastAsia="Calibri" w:hAnsi="Arial Narrow"/>
                <w:color w:val="000000"/>
              </w:rPr>
              <w:t>57,925</w:t>
            </w:r>
          </w:p>
        </w:tc>
      </w:tr>
      <w:tr w:rsidR="00685124" w:rsidRPr="00A90B62" w14:paraId="3172F8E5" w14:textId="6B392F27" w:rsidTr="006851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pct"/>
            <w:noWrap/>
          </w:tcPr>
          <w:p w14:paraId="3FB6979E" w14:textId="09694784" w:rsidR="00685124" w:rsidRPr="00BF039A" w:rsidRDefault="00685124" w:rsidP="004F0F97">
            <w:pPr>
              <w:keepNext/>
              <w:keepLines/>
              <w:jc w:val="left"/>
              <w:rPr>
                <w:rFonts w:ascii="Arial Narrow" w:eastAsia="Calibri" w:hAnsi="Arial Narrow"/>
                <w:bCs/>
                <w:color w:val="000000"/>
              </w:rPr>
            </w:pPr>
            <w:r w:rsidRPr="00BF039A">
              <w:rPr>
                <w:rFonts w:ascii="Arial Narrow" w:eastAsia="Calibri" w:hAnsi="Arial Narrow"/>
                <w:bCs/>
                <w:color w:val="000000"/>
              </w:rPr>
              <w:t>Wave 3</w:t>
            </w:r>
          </w:p>
        </w:tc>
        <w:tc>
          <w:tcPr>
            <w:tcW w:w="1715" w:type="pct"/>
          </w:tcPr>
          <w:p w14:paraId="08B20B95" w14:textId="38D4D527" w:rsidR="00685124" w:rsidRPr="00BF039A" w:rsidRDefault="00685124" w:rsidP="004F0F9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BF039A">
              <w:rPr>
                <w:rFonts w:ascii="Arial Narrow" w:hAnsi="Arial Narrow" w:cs="Calibri"/>
                <w:color w:val="000000"/>
              </w:rPr>
              <w:t>186,105</w:t>
            </w:r>
          </w:p>
        </w:tc>
        <w:tc>
          <w:tcPr>
            <w:tcW w:w="1910" w:type="pct"/>
          </w:tcPr>
          <w:p w14:paraId="0BD2ECB9" w14:textId="39197727" w:rsidR="00685124" w:rsidRPr="00BF039A" w:rsidRDefault="00685124" w:rsidP="004F0F9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BF039A">
              <w:rPr>
                <w:rFonts w:ascii="Arial Narrow" w:hAnsi="Arial Narrow" w:cs="Calibri"/>
                <w:color w:val="000000"/>
              </w:rPr>
              <w:t>61,990</w:t>
            </w:r>
          </w:p>
        </w:tc>
      </w:tr>
    </w:tbl>
    <w:p w14:paraId="47A229A3" w14:textId="15381458" w:rsidR="00685124" w:rsidRPr="00F467D9" w:rsidRDefault="00685124" w:rsidP="00685124">
      <w:pPr>
        <w:pStyle w:val="Source"/>
        <w:ind w:left="2070" w:right="2070"/>
        <w:rPr>
          <w:sz w:val="18"/>
          <w:szCs w:val="18"/>
        </w:rPr>
      </w:pPr>
      <w:bookmarkStart w:id="8" w:name="_Hlk132902733"/>
      <w:r w:rsidRPr="00F467D9">
        <w:rPr>
          <w:sz w:val="18"/>
          <w:szCs w:val="18"/>
        </w:rPr>
        <w:t>Source: Guidehouse analysis of Nicor Gas program tracking and customer billing data.</w:t>
      </w:r>
    </w:p>
    <w:bookmarkEnd w:id="8"/>
    <w:p w14:paraId="4FED5EDD" w14:textId="3324210A" w:rsidR="004F0F97" w:rsidRDefault="004F0F97" w:rsidP="004F0F97"/>
    <w:p w14:paraId="733CB903" w14:textId="77777777" w:rsidR="00685124" w:rsidRDefault="00685124" w:rsidP="004F0F97"/>
    <w:p w14:paraId="3B40370A" w14:textId="7A79DF83" w:rsidR="004F0F97" w:rsidRDefault="000F321A" w:rsidP="00F20206">
      <w:pPr>
        <w:pStyle w:val="Heading1"/>
      </w:pPr>
      <w:bookmarkStart w:id="9" w:name="_Toc165145389"/>
      <w:r>
        <w:lastRenderedPageBreak/>
        <w:t>Program Savings Detail</w:t>
      </w:r>
      <w:bookmarkEnd w:id="9"/>
    </w:p>
    <w:bookmarkStart w:id="10" w:name="_Hlk132903017"/>
    <w:p w14:paraId="08F408CA" w14:textId="1A41B50E" w:rsidR="004F0F97" w:rsidRDefault="00571E01" w:rsidP="009428DA">
      <w:pPr>
        <w:pStyle w:val="BodyText"/>
      </w:pPr>
      <w:r>
        <w:fldChar w:fldCharType="begin"/>
      </w:r>
      <w:r>
        <w:instrText xml:space="preserve"> REF _Ref164954829 \h </w:instrText>
      </w:r>
      <w:r>
        <w:fldChar w:fldCharType="separate"/>
      </w:r>
      <w:r>
        <w:t xml:space="preserve">Table </w:t>
      </w:r>
      <w:r>
        <w:rPr>
          <w:noProof/>
        </w:rPr>
        <w:t>2</w:t>
      </w:r>
      <w:r>
        <w:fldChar w:fldCharType="end"/>
      </w:r>
      <w:r>
        <w:t xml:space="preserve"> </w:t>
      </w:r>
      <w:r w:rsidR="00685124">
        <w:t>summarizes the energy savings the HER Program achieved in 202</w:t>
      </w:r>
      <w:r w:rsidR="00E13F91">
        <w:t>3</w:t>
      </w:r>
      <w:r w:rsidR="00685124">
        <w:t xml:space="preserve">. </w:t>
      </w:r>
      <w:r w:rsidR="00685124" w:rsidRPr="009B04CE">
        <w:t>These savings reflect adjustments for uplift,</w:t>
      </w:r>
      <w:r w:rsidR="00685124" w:rsidRPr="009B04CE">
        <w:rPr>
          <w:rStyle w:val="FootnoteReference"/>
        </w:rPr>
        <w:footnoteReference w:id="2"/>
      </w:r>
      <w:r w:rsidR="00685124" w:rsidRPr="009B04CE">
        <w:t xml:space="preserve"> as well as removing savings persisting from 2019 </w:t>
      </w:r>
      <w:r w:rsidR="00685124">
        <w:t>to</w:t>
      </w:r>
      <w:r w:rsidR="00685124" w:rsidRPr="009B04CE">
        <w:t xml:space="preserve"> 202</w:t>
      </w:r>
      <w:r w:rsidR="00BF039A">
        <w:t>2</w:t>
      </w:r>
      <w:r w:rsidR="00685124" w:rsidRPr="009B04CE">
        <w:t xml:space="preserve"> per the Illinois Statewide Technical Reference Manual (IL-TRM).</w:t>
      </w:r>
      <w:r w:rsidR="00685124" w:rsidRPr="009B04CE">
        <w:rPr>
          <w:rStyle w:val="FootnoteReference"/>
        </w:rPr>
        <w:footnoteReference w:id="3"/>
      </w:r>
      <w:r w:rsidR="00685124">
        <w:t xml:space="preserve"> </w:t>
      </w:r>
      <w:r w:rsidR="00322CEE">
        <w:rPr>
          <w:rStyle w:val="ui-provider"/>
        </w:rPr>
        <w:t>Note that savings for Wave 3 were not statistically significant</w:t>
      </w:r>
      <w:r w:rsidR="00707E38">
        <w:rPr>
          <w:rStyle w:val="ui-provider"/>
        </w:rPr>
        <w:t>,</w:t>
      </w:r>
      <w:r w:rsidR="00322CEE">
        <w:rPr>
          <w:rStyle w:val="ui-provider"/>
        </w:rPr>
        <w:t xml:space="preserve"> resulting in no claimable CY2023 savings</w:t>
      </w:r>
      <w:r w:rsidR="00BF039A">
        <w:rPr>
          <w:rStyle w:val="ui-provider"/>
        </w:rPr>
        <w:t>,</w:t>
      </w:r>
      <w:r w:rsidR="00932FFE">
        <w:rPr>
          <w:rStyle w:val="ui-provider"/>
        </w:rPr>
        <w:t xml:space="preserve"> because of this there are no adjustments for uplift or persistence for this wave</w:t>
      </w:r>
      <w:r w:rsidR="00322CEE">
        <w:rPr>
          <w:rStyle w:val="ui-provider"/>
        </w:rPr>
        <w:t>. </w:t>
      </w:r>
      <w:r w:rsidR="00685124">
        <w:t>Additionally, since the RCT design inherently estimates savings</w:t>
      </w:r>
      <w:r w:rsidR="00932FFE">
        <w:t xml:space="preserve"> that are net of participant spillover and free ridership</w:t>
      </w:r>
      <w:r w:rsidR="00685124">
        <w:t>, neither the evaluation team nor the implementer estimated gross savings, and there is no gross realization rate and no net-to-gross (NTG) ratio.</w:t>
      </w:r>
      <w:r w:rsidR="00932FFE">
        <w:t xml:space="preserve"> Guidehouse added non-participant spillover (NPSO) to </w:t>
      </w:r>
      <w:r w:rsidR="00267FEC">
        <w:t>its</w:t>
      </w:r>
      <w:r w:rsidR="00932FFE">
        <w:t xml:space="preserve"> initial savings estimate using the deemed factor of 1.048.</w:t>
      </w:r>
      <w:r w:rsidR="00685124">
        <w:t xml:space="preserve"> Across </w:t>
      </w:r>
      <w:r w:rsidR="00020310">
        <w:t>the three</w:t>
      </w:r>
      <w:r w:rsidR="00685124">
        <w:t xml:space="preserve"> waves, the realization rate </w:t>
      </w:r>
      <w:r w:rsidR="00685124" w:rsidRPr="00FA03A3">
        <w:t xml:space="preserve">is </w:t>
      </w:r>
      <w:r w:rsidR="00396E88" w:rsidRPr="00FA03A3">
        <w:t>6</w:t>
      </w:r>
      <w:r w:rsidR="003D6684">
        <w:t>6</w:t>
      </w:r>
      <w:r w:rsidR="00685124" w:rsidRPr="00FA03A3">
        <w:t>%.</w:t>
      </w:r>
      <w:bookmarkEnd w:id="10"/>
    </w:p>
    <w:p w14:paraId="1501D493" w14:textId="494C06F6" w:rsidR="004F0F97" w:rsidRDefault="00571E01" w:rsidP="004F0F97">
      <w:pPr>
        <w:pStyle w:val="Caption"/>
        <w:keepLines/>
      </w:pPr>
      <w:bookmarkStart w:id="11" w:name="_Ref164954829"/>
      <w:bookmarkStart w:id="12" w:name="_Toc397011684"/>
      <w:bookmarkStart w:id="13" w:name="_Toc397011694"/>
      <w:bookmarkStart w:id="14" w:name="_Toc398541809"/>
      <w:bookmarkStart w:id="15" w:name="_Toc398541922"/>
      <w:bookmarkStart w:id="16" w:name="_Toc398546654"/>
      <w:bookmarkStart w:id="17" w:name="_Toc423009516"/>
      <w:bookmarkStart w:id="18" w:name="_Toc426278634"/>
      <w:bookmarkStart w:id="19" w:name="_Toc61360847"/>
      <w:bookmarkStart w:id="20" w:name="_Ref164954826"/>
      <w:bookmarkStart w:id="21" w:name="_Toc165318818"/>
      <w:r>
        <w:t xml:space="preserve">Table </w:t>
      </w:r>
      <w:fldSimple w:instr=" SEQ Table \* ARABIC \s 5 ">
        <w:r>
          <w:rPr>
            <w:noProof/>
          </w:rPr>
          <w:t>2</w:t>
        </w:r>
      </w:fldSimple>
      <w:bookmarkEnd w:id="11"/>
      <w:r>
        <w:t xml:space="preserve">. 2023 </w:t>
      </w:r>
      <w:r w:rsidR="004F0F97">
        <w:t>Annual Energy Savings Summary</w:t>
      </w:r>
      <w:bookmarkEnd w:id="12"/>
      <w:bookmarkEnd w:id="13"/>
      <w:bookmarkEnd w:id="14"/>
      <w:bookmarkEnd w:id="15"/>
      <w:bookmarkEnd w:id="16"/>
      <w:bookmarkEnd w:id="17"/>
      <w:bookmarkEnd w:id="18"/>
      <w:bookmarkEnd w:id="19"/>
      <w:bookmarkEnd w:id="20"/>
      <w:bookmarkEnd w:id="21"/>
      <w:r w:rsidR="004F0F97">
        <w:t xml:space="preserve"> </w:t>
      </w:r>
    </w:p>
    <w:tbl>
      <w:tblPr>
        <w:tblStyle w:val="EnergyTable1"/>
        <w:tblW w:w="5262" w:type="pct"/>
        <w:tblLook w:val="04A0" w:firstRow="1" w:lastRow="0" w:firstColumn="1" w:lastColumn="0" w:noHBand="0" w:noVBand="1"/>
      </w:tblPr>
      <w:tblGrid>
        <w:gridCol w:w="1028"/>
        <w:gridCol w:w="938"/>
        <w:gridCol w:w="1199"/>
        <w:gridCol w:w="1209"/>
        <w:gridCol w:w="1293"/>
        <w:gridCol w:w="988"/>
        <w:gridCol w:w="938"/>
        <w:gridCol w:w="938"/>
        <w:gridCol w:w="1319"/>
      </w:tblGrid>
      <w:tr w:rsidR="00932FFE" w:rsidRPr="00307F73" w14:paraId="4DD93A7A" w14:textId="77777777" w:rsidTr="00D917D8">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38" w:type="pct"/>
            <w:hideMark/>
          </w:tcPr>
          <w:p w14:paraId="72185C3D" w14:textId="77777777" w:rsidR="00932FFE" w:rsidRPr="00AA612E" w:rsidRDefault="00932FFE" w:rsidP="00757E7A">
            <w:pPr>
              <w:keepNext/>
              <w:keepLines/>
              <w:jc w:val="left"/>
              <w:rPr>
                <w:rFonts w:ascii="Arial Narrow" w:hAnsi="Arial Narrow" w:cs="Arial"/>
                <w:color w:val="FFFFFF"/>
              </w:rPr>
            </w:pPr>
            <w:r>
              <w:rPr>
                <w:rFonts w:ascii="Arial Narrow" w:hAnsi="Arial Narrow" w:cs="Arial"/>
                <w:color w:val="FFFFFF"/>
              </w:rPr>
              <w:t>Wave</w:t>
            </w:r>
          </w:p>
        </w:tc>
        <w:tc>
          <w:tcPr>
            <w:tcW w:w="476" w:type="pct"/>
            <w:hideMark/>
          </w:tcPr>
          <w:p w14:paraId="2B977F5B" w14:textId="77777777"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07302C">
              <w:rPr>
                <w:rFonts w:ascii="Arial Narrow" w:hAnsi="Arial Narrow"/>
                <w:bCs/>
                <w:color w:val="FFFFFF"/>
              </w:rPr>
              <w:t>Ex Ante</w:t>
            </w:r>
            <w:r w:rsidRPr="00307F73">
              <w:rPr>
                <w:rFonts w:ascii="Arial Narrow" w:hAnsi="Arial Narrow"/>
                <w:bCs/>
                <w:i/>
                <w:color w:val="FFFFFF"/>
              </w:rPr>
              <w:t xml:space="preserve"> </w:t>
            </w:r>
            <w:r w:rsidRPr="00307F73">
              <w:rPr>
                <w:rFonts w:ascii="Arial Narrow" w:hAnsi="Arial Narrow"/>
                <w:bCs/>
                <w:color w:val="FFFFFF"/>
              </w:rPr>
              <w:t xml:space="preserve">Savings </w:t>
            </w:r>
            <w:r>
              <w:rPr>
                <w:rFonts w:ascii="Arial Narrow" w:hAnsi="Arial Narrow"/>
                <w:bCs/>
                <w:color w:val="FFFFFF"/>
              </w:rPr>
              <w:t>(</w:t>
            </w:r>
            <w:r w:rsidRPr="00307F73">
              <w:rPr>
                <w:rFonts w:ascii="Arial Narrow" w:hAnsi="Arial Narrow"/>
                <w:bCs/>
                <w:color w:val="FFFFFF"/>
              </w:rPr>
              <w:t>therms</w:t>
            </w:r>
            <w:r>
              <w:rPr>
                <w:rFonts w:ascii="Arial Narrow" w:hAnsi="Arial Narrow"/>
                <w:bCs/>
                <w:color w:val="FFFFFF"/>
              </w:rPr>
              <w:t>)</w:t>
            </w:r>
          </w:p>
        </w:tc>
        <w:tc>
          <w:tcPr>
            <w:tcW w:w="609" w:type="pct"/>
            <w:hideMark/>
          </w:tcPr>
          <w:p w14:paraId="6DFD8ED0" w14:textId="77777777" w:rsidR="00932FFE"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07F73">
              <w:rPr>
                <w:rFonts w:ascii="Arial Narrow" w:hAnsi="Arial Narrow"/>
                <w:bCs/>
                <w:color w:val="FFFFFF"/>
              </w:rPr>
              <w:t xml:space="preserve">Verified Unadjusted Savings </w:t>
            </w:r>
          </w:p>
          <w:p w14:paraId="335CA9B7" w14:textId="77777777"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Pr>
                <w:rFonts w:ascii="Arial Narrow" w:hAnsi="Arial Narrow"/>
                <w:bCs/>
                <w:color w:val="FFFFFF"/>
              </w:rPr>
              <w:t>(</w:t>
            </w:r>
            <w:r w:rsidRPr="00307F73">
              <w:rPr>
                <w:rFonts w:ascii="Arial Narrow" w:hAnsi="Arial Narrow"/>
                <w:bCs/>
                <w:color w:val="FFFFFF"/>
              </w:rPr>
              <w:t>therms</w:t>
            </w:r>
            <w:r>
              <w:rPr>
                <w:rFonts w:ascii="Arial Narrow" w:hAnsi="Arial Narrow"/>
                <w:bCs/>
                <w:color w:val="FFFFFF"/>
              </w:rPr>
              <w:t>)</w:t>
            </w:r>
          </w:p>
        </w:tc>
        <w:tc>
          <w:tcPr>
            <w:tcW w:w="614" w:type="pct"/>
            <w:hideMark/>
          </w:tcPr>
          <w:p w14:paraId="04E7978B" w14:textId="3E1E0AE0" w:rsidR="00932FFE" w:rsidRPr="00F82C25"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F82C25">
              <w:rPr>
                <w:rFonts w:ascii="Arial Narrow" w:hAnsi="Arial Narrow"/>
                <w:bCs/>
                <w:color w:val="FFFFFF"/>
              </w:rPr>
              <w:t>Total Uplift</w:t>
            </w:r>
            <w:r w:rsidR="00D917D8">
              <w:rPr>
                <w:rFonts w:ascii="Arial Narrow" w:hAnsi="Arial Narrow"/>
                <w:bCs/>
                <w:color w:val="FFFFFF"/>
              </w:rPr>
              <w:t>*</w:t>
            </w:r>
            <w:r w:rsidRPr="00F82C25">
              <w:rPr>
                <w:rFonts w:ascii="Arial Narrow" w:hAnsi="Arial Narrow"/>
                <w:bCs/>
                <w:color w:val="FFFFFF"/>
              </w:rPr>
              <w:t xml:space="preserve"> Adjustment </w:t>
            </w:r>
          </w:p>
          <w:p w14:paraId="43AD5C9A" w14:textId="77777777"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F82C25">
              <w:rPr>
                <w:rFonts w:ascii="Arial Narrow" w:hAnsi="Arial Narrow"/>
                <w:bCs/>
                <w:color w:val="FFFFFF"/>
              </w:rPr>
              <w:t>(therms</w:t>
            </w:r>
            <w:r>
              <w:rPr>
                <w:rFonts w:ascii="Arial Narrow" w:hAnsi="Arial Narrow"/>
                <w:bCs/>
                <w:color w:val="FFFFFF"/>
              </w:rPr>
              <w:t>)</w:t>
            </w:r>
          </w:p>
        </w:tc>
        <w:tc>
          <w:tcPr>
            <w:tcW w:w="656" w:type="pct"/>
          </w:tcPr>
          <w:p w14:paraId="6CC6671F" w14:textId="608908C7"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Cs/>
                <w:color w:val="FFFFFF"/>
              </w:rPr>
              <w:t xml:space="preserve">Total </w:t>
            </w:r>
            <w:r w:rsidRPr="00F82C25">
              <w:rPr>
                <w:rFonts w:ascii="Arial Narrow" w:hAnsi="Arial Narrow"/>
                <w:bCs/>
                <w:color w:val="FFFFFF"/>
              </w:rPr>
              <w:t>Persistence</w:t>
            </w:r>
            <w:r w:rsidR="00D917D8">
              <w:rPr>
                <w:rFonts w:ascii="Arial Narrow" w:hAnsi="Arial Narrow"/>
                <w:bCs/>
                <w:color w:val="FFFFFF"/>
                <w:vertAlign w:val="superscript"/>
              </w:rPr>
              <w:t>†</w:t>
            </w:r>
            <w:r>
              <w:rPr>
                <w:rFonts w:ascii="Arial Narrow" w:hAnsi="Arial Narrow"/>
                <w:bCs/>
                <w:color w:val="FFFFFF"/>
                <w:vertAlign w:val="superscript"/>
              </w:rPr>
              <w:t xml:space="preserve"> </w:t>
            </w:r>
            <w:r>
              <w:rPr>
                <w:rFonts w:ascii="Arial Narrow" w:hAnsi="Arial Narrow"/>
                <w:bCs/>
                <w:color w:val="FFFFFF"/>
              </w:rPr>
              <w:t>Adjustment (therms)</w:t>
            </w:r>
          </w:p>
        </w:tc>
        <w:tc>
          <w:tcPr>
            <w:tcW w:w="502" w:type="pct"/>
          </w:tcPr>
          <w:p w14:paraId="1CD6FD2D" w14:textId="6D45ABE4" w:rsidR="00932FFE"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Cs/>
                <w:color w:val="FFFFFF"/>
              </w:rPr>
              <w:t>Verified Adjusted Savings</w:t>
            </w:r>
          </w:p>
        </w:tc>
        <w:tc>
          <w:tcPr>
            <w:tcW w:w="476" w:type="pct"/>
          </w:tcPr>
          <w:p w14:paraId="47964949" w14:textId="6717F320" w:rsidR="00932FFE"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Cs/>
                <w:color w:val="FFFFFF"/>
              </w:rPr>
              <w:t>NPSO</w:t>
            </w:r>
          </w:p>
          <w:p w14:paraId="773ECE93" w14:textId="016423BE"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Cs/>
                <w:color w:val="FFFFFF"/>
              </w:rPr>
              <w:t>(therms)</w:t>
            </w:r>
          </w:p>
        </w:tc>
        <w:tc>
          <w:tcPr>
            <w:tcW w:w="476" w:type="pct"/>
          </w:tcPr>
          <w:p w14:paraId="126EEEAD" w14:textId="6D1C7198" w:rsidR="00932FFE"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07F73">
              <w:rPr>
                <w:rFonts w:ascii="Arial Narrow" w:hAnsi="Arial Narrow"/>
                <w:bCs/>
                <w:color w:val="FFFFFF"/>
              </w:rPr>
              <w:t xml:space="preserve">Final </w:t>
            </w:r>
          </w:p>
          <w:p w14:paraId="44C7113A" w14:textId="77777777"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307F73">
              <w:rPr>
                <w:rFonts w:ascii="Arial Narrow" w:hAnsi="Arial Narrow"/>
                <w:bCs/>
                <w:color w:val="FFFFFF"/>
              </w:rPr>
              <w:t xml:space="preserve">Verified Savings </w:t>
            </w:r>
            <w:r>
              <w:rPr>
                <w:rFonts w:ascii="Arial Narrow" w:hAnsi="Arial Narrow"/>
                <w:bCs/>
                <w:color w:val="FFFFFF"/>
              </w:rPr>
              <w:t>(</w:t>
            </w:r>
            <w:r w:rsidRPr="00307F73">
              <w:rPr>
                <w:rFonts w:ascii="Arial Narrow" w:hAnsi="Arial Narrow"/>
                <w:bCs/>
                <w:color w:val="FFFFFF"/>
              </w:rPr>
              <w:t>therms</w:t>
            </w:r>
            <w:r>
              <w:rPr>
                <w:rFonts w:ascii="Arial Narrow" w:hAnsi="Arial Narrow"/>
                <w:bCs/>
                <w:color w:val="FFFFFF"/>
              </w:rPr>
              <w:t>)</w:t>
            </w:r>
          </w:p>
        </w:tc>
        <w:tc>
          <w:tcPr>
            <w:tcW w:w="753" w:type="pct"/>
            <w:hideMark/>
          </w:tcPr>
          <w:p w14:paraId="23ECC89F" w14:textId="416CE28F" w:rsidR="00932FFE" w:rsidRPr="00307F73" w:rsidRDefault="00932FFE"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307F73">
              <w:rPr>
                <w:rFonts w:ascii="Arial Narrow" w:hAnsi="Arial Narrow"/>
                <w:bCs/>
                <w:color w:val="FFFFFF"/>
              </w:rPr>
              <w:t>Verified Realization Rate</w:t>
            </w:r>
            <w:r w:rsidR="00D917D8">
              <w:rPr>
                <w:rFonts w:ascii="Arial Narrow" w:hAnsi="Arial Narrow"/>
                <w:bCs/>
                <w:color w:val="FFFFFF"/>
                <w:vertAlign w:val="superscript"/>
              </w:rPr>
              <w:t>‡</w:t>
            </w:r>
          </w:p>
        </w:tc>
      </w:tr>
      <w:tr w:rsidR="00D917D8" w:rsidRPr="00F467D9" w14:paraId="39237756" w14:textId="77777777" w:rsidTr="00D917D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8" w:type="pct"/>
          </w:tcPr>
          <w:p w14:paraId="21A5356F" w14:textId="77777777" w:rsidR="00D917D8" w:rsidRPr="00932FFE" w:rsidRDefault="00D917D8" w:rsidP="00D917D8">
            <w:pPr>
              <w:keepNext/>
              <w:keepLines/>
              <w:spacing w:before="0" w:after="0"/>
              <w:jc w:val="left"/>
              <w:rPr>
                <w:rFonts w:ascii="Arial Narrow" w:hAnsi="Arial Narrow"/>
                <w:bCs/>
                <w:color w:val="000000"/>
              </w:rPr>
            </w:pPr>
            <w:r w:rsidRPr="00932FFE">
              <w:rPr>
                <w:rFonts w:ascii="Arial Narrow" w:hAnsi="Arial Narrow"/>
                <w:bCs/>
                <w:color w:val="000000"/>
              </w:rPr>
              <w:t>Wave 1</w:t>
            </w:r>
          </w:p>
        </w:tc>
        <w:tc>
          <w:tcPr>
            <w:tcW w:w="476" w:type="pct"/>
            <w:noWrap/>
          </w:tcPr>
          <w:p w14:paraId="59FFB85E" w14:textId="754B23B8"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4</w:t>
            </w:r>
            <w:r w:rsidR="00B15D38">
              <w:rPr>
                <w:rFonts w:ascii="Arial Narrow" w:hAnsi="Arial Narrow"/>
              </w:rPr>
              <w:t>32</w:t>
            </w:r>
            <w:r w:rsidRPr="00932FFE">
              <w:rPr>
                <w:rFonts w:ascii="Arial Narrow" w:hAnsi="Arial Narrow"/>
              </w:rPr>
              <w:t>,</w:t>
            </w:r>
            <w:r w:rsidR="00B15D38">
              <w:rPr>
                <w:rFonts w:ascii="Arial Narrow" w:hAnsi="Arial Narrow"/>
              </w:rPr>
              <w:t>724</w:t>
            </w:r>
            <w:r w:rsidRPr="00932FFE">
              <w:rPr>
                <w:rFonts w:ascii="Arial Narrow" w:hAnsi="Arial Narrow"/>
              </w:rPr>
              <w:t xml:space="preserve"> </w:t>
            </w:r>
          </w:p>
        </w:tc>
        <w:tc>
          <w:tcPr>
            <w:tcW w:w="609" w:type="pct"/>
            <w:noWrap/>
          </w:tcPr>
          <w:p w14:paraId="4250CE35" w14:textId="343F0C57"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1,001,139 </w:t>
            </w:r>
          </w:p>
        </w:tc>
        <w:tc>
          <w:tcPr>
            <w:tcW w:w="614" w:type="pct"/>
            <w:noWrap/>
          </w:tcPr>
          <w:p w14:paraId="31039BD9" w14:textId="505D2C8B"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85,420 </w:t>
            </w:r>
          </w:p>
        </w:tc>
        <w:tc>
          <w:tcPr>
            <w:tcW w:w="656" w:type="pct"/>
          </w:tcPr>
          <w:p w14:paraId="727EB071" w14:textId="2CFB74D9"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32FFE">
              <w:rPr>
                <w:rFonts w:ascii="Arial Narrow" w:hAnsi="Arial Narrow"/>
              </w:rPr>
              <w:t xml:space="preserve"> 548,216 </w:t>
            </w:r>
          </w:p>
        </w:tc>
        <w:tc>
          <w:tcPr>
            <w:tcW w:w="502" w:type="pct"/>
          </w:tcPr>
          <w:p w14:paraId="76474EEC" w14:textId="129E78C7"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32FFE">
              <w:rPr>
                <w:rFonts w:ascii="Arial Narrow" w:hAnsi="Arial Narrow"/>
              </w:rPr>
              <w:t xml:space="preserve"> 367,502 </w:t>
            </w:r>
          </w:p>
        </w:tc>
        <w:tc>
          <w:tcPr>
            <w:tcW w:w="476" w:type="pct"/>
          </w:tcPr>
          <w:p w14:paraId="581FAE25" w14:textId="735A0A0D"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17,640</w:t>
            </w:r>
          </w:p>
        </w:tc>
        <w:tc>
          <w:tcPr>
            <w:tcW w:w="476" w:type="pct"/>
          </w:tcPr>
          <w:p w14:paraId="0143CC60" w14:textId="7A8B71AE"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w:t>
            </w:r>
            <w:r>
              <w:rPr>
                <w:rFonts w:ascii="Arial Narrow" w:hAnsi="Arial Narrow"/>
              </w:rPr>
              <w:t>385,143</w:t>
            </w:r>
            <w:r w:rsidRPr="00932FFE">
              <w:rPr>
                <w:rFonts w:ascii="Arial Narrow" w:hAnsi="Arial Narrow"/>
              </w:rPr>
              <w:t xml:space="preserve"> </w:t>
            </w:r>
          </w:p>
        </w:tc>
        <w:tc>
          <w:tcPr>
            <w:tcW w:w="753" w:type="pct"/>
          </w:tcPr>
          <w:p w14:paraId="210432F4" w14:textId="51CFDCE8"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Pr>
                <w:rFonts w:ascii="Arial Narrow" w:hAnsi="Arial Narrow"/>
              </w:rPr>
              <w:t>91</w:t>
            </w:r>
            <w:r w:rsidRPr="00932FFE">
              <w:rPr>
                <w:rFonts w:ascii="Arial Narrow" w:hAnsi="Arial Narrow"/>
              </w:rPr>
              <w:t>%</w:t>
            </w:r>
          </w:p>
        </w:tc>
      </w:tr>
      <w:tr w:rsidR="00D917D8" w:rsidRPr="00F467D9" w14:paraId="2CBC2F3D" w14:textId="77777777" w:rsidTr="00D917D8">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8" w:type="pct"/>
          </w:tcPr>
          <w:p w14:paraId="7AACA50F" w14:textId="0805022C" w:rsidR="00D917D8" w:rsidRPr="00932FFE" w:rsidRDefault="00D917D8" w:rsidP="00D917D8">
            <w:pPr>
              <w:keepNext/>
              <w:keepLines/>
              <w:jc w:val="left"/>
              <w:rPr>
                <w:rFonts w:ascii="Arial Narrow" w:hAnsi="Arial Narrow"/>
                <w:bCs/>
                <w:color w:val="000000"/>
              </w:rPr>
            </w:pPr>
            <w:r w:rsidRPr="00932FFE">
              <w:rPr>
                <w:rFonts w:ascii="Arial Narrow" w:hAnsi="Arial Narrow"/>
                <w:bCs/>
                <w:color w:val="000000"/>
              </w:rPr>
              <w:t>Wave 2</w:t>
            </w:r>
          </w:p>
        </w:tc>
        <w:tc>
          <w:tcPr>
            <w:tcW w:w="476" w:type="pct"/>
            <w:noWrap/>
          </w:tcPr>
          <w:p w14:paraId="4C453572" w14:textId="107C0258" w:rsidR="00D917D8" w:rsidRPr="00932FFE" w:rsidRDefault="00B15D3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rPr>
              <w:t>81</w:t>
            </w:r>
            <w:r w:rsidR="00D917D8" w:rsidRPr="00932FFE">
              <w:rPr>
                <w:rFonts w:ascii="Arial Narrow" w:hAnsi="Arial Narrow"/>
              </w:rPr>
              <w:t>,</w:t>
            </w:r>
            <w:r>
              <w:rPr>
                <w:rFonts w:ascii="Arial Narrow" w:hAnsi="Arial Narrow"/>
              </w:rPr>
              <w:t>943</w:t>
            </w:r>
            <w:r w:rsidRPr="00932FFE">
              <w:rPr>
                <w:rFonts w:ascii="Arial Narrow" w:hAnsi="Arial Narrow"/>
              </w:rPr>
              <w:t xml:space="preserve"> </w:t>
            </w:r>
          </w:p>
        </w:tc>
        <w:tc>
          <w:tcPr>
            <w:tcW w:w="609" w:type="pct"/>
            <w:noWrap/>
          </w:tcPr>
          <w:p w14:paraId="16204024" w14:textId="0E393F0D"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32FFE">
              <w:rPr>
                <w:rFonts w:ascii="Arial Narrow" w:hAnsi="Arial Narrow"/>
              </w:rPr>
              <w:t xml:space="preserve"> 349,828 </w:t>
            </w:r>
          </w:p>
        </w:tc>
        <w:tc>
          <w:tcPr>
            <w:tcW w:w="614" w:type="pct"/>
            <w:noWrap/>
          </w:tcPr>
          <w:p w14:paraId="6E4963DE" w14:textId="0ADC6293"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32FFE">
              <w:rPr>
                <w:rFonts w:ascii="Arial Narrow" w:hAnsi="Arial Narrow"/>
              </w:rPr>
              <w:t xml:space="preserve"> 110,294 </w:t>
            </w:r>
          </w:p>
        </w:tc>
        <w:tc>
          <w:tcPr>
            <w:tcW w:w="656" w:type="pct"/>
          </w:tcPr>
          <w:p w14:paraId="10891DBC" w14:textId="786EE609"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32FFE">
              <w:rPr>
                <w:rFonts w:ascii="Arial Narrow" w:hAnsi="Arial Narrow"/>
              </w:rPr>
              <w:t xml:space="preserve"> 73,831 </w:t>
            </w:r>
          </w:p>
        </w:tc>
        <w:tc>
          <w:tcPr>
            <w:tcW w:w="502" w:type="pct"/>
          </w:tcPr>
          <w:p w14:paraId="5D6AD836" w14:textId="648C19CC"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32FFE">
              <w:rPr>
                <w:rFonts w:ascii="Arial Narrow" w:hAnsi="Arial Narrow"/>
              </w:rPr>
              <w:t xml:space="preserve"> 165,703 </w:t>
            </w:r>
          </w:p>
        </w:tc>
        <w:tc>
          <w:tcPr>
            <w:tcW w:w="476" w:type="pct"/>
          </w:tcPr>
          <w:p w14:paraId="12284A2F" w14:textId="0DD9A066"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7,954</w:t>
            </w:r>
          </w:p>
        </w:tc>
        <w:tc>
          <w:tcPr>
            <w:tcW w:w="476" w:type="pct"/>
          </w:tcPr>
          <w:p w14:paraId="77465FEE" w14:textId="279B4404"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32FFE">
              <w:rPr>
                <w:rFonts w:ascii="Arial Narrow" w:hAnsi="Arial Narrow"/>
              </w:rPr>
              <w:t xml:space="preserve"> </w:t>
            </w:r>
            <w:r>
              <w:rPr>
                <w:rFonts w:ascii="Arial Narrow" w:hAnsi="Arial Narrow"/>
              </w:rPr>
              <w:t>173,657</w:t>
            </w:r>
            <w:r w:rsidRPr="00932FFE">
              <w:rPr>
                <w:rFonts w:ascii="Arial Narrow" w:hAnsi="Arial Narrow"/>
              </w:rPr>
              <w:t xml:space="preserve"> </w:t>
            </w:r>
          </w:p>
        </w:tc>
        <w:tc>
          <w:tcPr>
            <w:tcW w:w="753" w:type="pct"/>
          </w:tcPr>
          <w:p w14:paraId="61DB14DC" w14:textId="6CCC0D42" w:rsidR="00D917D8" w:rsidRPr="00932FFE"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32FFE">
              <w:rPr>
                <w:rFonts w:ascii="Arial Narrow" w:hAnsi="Arial Narrow"/>
              </w:rPr>
              <w:t>9</w:t>
            </w:r>
            <w:r>
              <w:rPr>
                <w:rFonts w:ascii="Arial Narrow" w:hAnsi="Arial Narrow"/>
              </w:rPr>
              <w:t>4</w:t>
            </w:r>
            <w:r w:rsidRPr="00932FFE">
              <w:rPr>
                <w:rFonts w:ascii="Arial Narrow" w:hAnsi="Arial Narrow"/>
              </w:rPr>
              <w:t>%</w:t>
            </w:r>
          </w:p>
        </w:tc>
      </w:tr>
      <w:tr w:rsidR="00D917D8" w:rsidRPr="00F467D9" w14:paraId="48D29778" w14:textId="77777777" w:rsidTr="00D917D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8" w:type="pct"/>
          </w:tcPr>
          <w:p w14:paraId="20A5E22B" w14:textId="77777777" w:rsidR="00D917D8" w:rsidRPr="00932FFE" w:rsidRDefault="00D917D8" w:rsidP="00D917D8">
            <w:pPr>
              <w:keepNext/>
              <w:keepLines/>
              <w:jc w:val="left"/>
              <w:rPr>
                <w:rFonts w:ascii="Arial Narrow" w:hAnsi="Arial Narrow"/>
                <w:bCs/>
                <w:color w:val="000000"/>
              </w:rPr>
            </w:pPr>
            <w:r w:rsidRPr="00932FFE">
              <w:rPr>
                <w:rFonts w:ascii="Arial Narrow" w:eastAsia="Calibri" w:hAnsi="Arial Narrow"/>
                <w:bCs/>
                <w:color w:val="000000"/>
              </w:rPr>
              <w:t xml:space="preserve">Wave 3 </w:t>
            </w:r>
          </w:p>
        </w:tc>
        <w:tc>
          <w:tcPr>
            <w:tcW w:w="476" w:type="pct"/>
            <w:noWrap/>
          </w:tcPr>
          <w:p w14:paraId="16E2452B" w14:textId="5586430D"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w:t>
            </w:r>
            <w:r w:rsidR="00B15D38">
              <w:rPr>
                <w:rFonts w:ascii="Arial Narrow" w:hAnsi="Arial Narrow"/>
              </w:rPr>
              <w:t>332</w:t>
            </w:r>
            <w:r w:rsidRPr="00932FFE">
              <w:rPr>
                <w:rFonts w:ascii="Arial Narrow" w:hAnsi="Arial Narrow"/>
              </w:rPr>
              <w:t>,</w:t>
            </w:r>
            <w:r w:rsidR="00B15D38">
              <w:rPr>
                <w:rFonts w:ascii="Arial Narrow" w:hAnsi="Arial Narrow"/>
              </w:rPr>
              <w:t>9</w:t>
            </w:r>
            <w:r w:rsidR="000B32B8">
              <w:rPr>
                <w:rFonts w:ascii="Arial Narrow" w:hAnsi="Arial Narrow"/>
              </w:rPr>
              <w:t>5</w:t>
            </w:r>
            <w:r w:rsidR="00B15D38">
              <w:rPr>
                <w:rFonts w:ascii="Arial Narrow" w:hAnsi="Arial Narrow"/>
              </w:rPr>
              <w:t>1</w:t>
            </w:r>
            <w:r w:rsidR="00B15D38" w:rsidRPr="00932FFE">
              <w:rPr>
                <w:rFonts w:ascii="Arial Narrow" w:hAnsi="Arial Narrow"/>
              </w:rPr>
              <w:t xml:space="preserve"> </w:t>
            </w:r>
          </w:p>
        </w:tc>
        <w:tc>
          <w:tcPr>
            <w:tcW w:w="609" w:type="pct"/>
            <w:noWrap/>
          </w:tcPr>
          <w:p w14:paraId="01844948" w14:textId="635D668F"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 xml:space="preserve"> 0 </w:t>
            </w:r>
          </w:p>
        </w:tc>
        <w:tc>
          <w:tcPr>
            <w:tcW w:w="614" w:type="pct"/>
            <w:noWrap/>
          </w:tcPr>
          <w:p w14:paraId="4AFC0DA5" w14:textId="647623AA"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w:t>
            </w:r>
          </w:p>
        </w:tc>
        <w:tc>
          <w:tcPr>
            <w:tcW w:w="656" w:type="pct"/>
          </w:tcPr>
          <w:p w14:paraId="42A45F84" w14:textId="2059E759"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32FFE">
              <w:rPr>
                <w:rFonts w:ascii="Arial Narrow" w:hAnsi="Arial Narrow"/>
              </w:rPr>
              <w:t xml:space="preserve">- </w:t>
            </w:r>
          </w:p>
        </w:tc>
        <w:tc>
          <w:tcPr>
            <w:tcW w:w="502" w:type="pct"/>
          </w:tcPr>
          <w:p w14:paraId="701D9C33" w14:textId="676B3C94"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0</w:t>
            </w:r>
          </w:p>
        </w:tc>
        <w:tc>
          <w:tcPr>
            <w:tcW w:w="476" w:type="pct"/>
          </w:tcPr>
          <w:p w14:paraId="185E1506" w14:textId="49B20EE8" w:rsidR="00D917D8" w:rsidRPr="00932FFE" w:rsidRDefault="00D917D8" w:rsidP="00D917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476" w:type="pct"/>
          </w:tcPr>
          <w:p w14:paraId="36F11176" w14:textId="2EB2B1DC"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rPr>
              <w:t>0</w:t>
            </w:r>
          </w:p>
        </w:tc>
        <w:tc>
          <w:tcPr>
            <w:tcW w:w="753" w:type="pct"/>
          </w:tcPr>
          <w:p w14:paraId="5937B2C8" w14:textId="45B218CE" w:rsidR="00D917D8" w:rsidRPr="00932FFE" w:rsidRDefault="00D917D8" w:rsidP="00D917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32FFE">
              <w:rPr>
                <w:rFonts w:ascii="Arial Narrow" w:hAnsi="Arial Narrow"/>
                <w:bCs/>
                <w:color w:val="000000"/>
                <w:szCs w:val="22"/>
              </w:rPr>
              <w:t>0%</w:t>
            </w:r>
          </w:p>
        </w:tc>
      </w:tr>
      <w:tr w:rsidR="00D917D8" w:rsidRPr="0013505D" w14:paraId="3F405F84" w14:textId="77777777" w:rsidTr="00D917D8">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38" w:type="pct"/>
          </w:tcPr>
          <w:p w14:paraId="5209B740" w14:textId="27643694" w:rsidR="00D917D8" w:rsidRPr="0013505D" w:rsidRDefault="00D917D8" w:rsidP="00D917D8">
            <w:pPr>
              <w:keepNext/>
              <w:keepLines/>
              <w:jc w:val="left"/>
              <w:rPr>
                <w:rFonts w:ascii="Arial Narrow" w:eastAsia="Calibri" w:hAnsi="Arial Narrow"/>
                <w:b/>
                <w:color w:val="000000"/>
              </w:rPr>
            </w:pPr>
            <w:r w:rsidRPr="0013505D">
              <w:rPr>
                <w:rFonts w:ascii="Arial Narrow" w:eastAsia="Calibri" w:hAnsi="Arial Narrow"/>
                <w:b/>
                <w:color w:val="000000"/>
              </w:rPr>
              <w:t>Total</w:t>
            </w:r>
            <w:r w:rsidR="00FA61BC">
              <w:rPr>
                <w:rFonts w:ascii="Arial Narrow" w:eastAsia="Calibri" w:hAnsi="Arial Narrow"/>
                <w:b/>
                <w:color w:val="000000"/>
              </w:rPr>
              <w:t xml:space="preserve"> or Weighted Average</w:t>
            </w:r>
          </w:p>
        </w:tc>
        <w:tc>
          <w:tcPr>
            <w:tcW w:w="476" w:type="pct"/>
            <w:noWrap/>
            <w:vAlign w:val="bottom"/>
          </w:tcPr>
          <w:p w14:paraId="59C7F83A" w14:textId="0EC86D37"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8</w:t>
            </w:r>
            <w:r w:rsidR="00B15D38">
              <w:rPr>
                <w:rFonts w:ascii="Arial Narrow" w:hAnsi="Arial Narrow"/>
                <w:b/>
                <w:bCs/>
              </w:rPr>
              <w:t>47</w:t>
            </w:r>
            <w:r w:rsidRPr="00D917D8">
              <w:rPr>
                <w:rFonts w:ascii="Arial Narrow" w:hAnsi="Arial Narrow"/>
                <w:b/>
                <w:bCs/>
              </w:rPr>
              <w:t>,</w:t>
            </w:r>
            <w:r w:rsidR="00B15D38">
              <w:rPr>
                <w:rFonts w:ascii="Arial Narrow" w:hAnsi="Arial Narrow"/>
                <w:b/>
                <w:bCs/>
              </w:rPr>
              <w:t>6</w:t>
            </w:r>
            <w:r w:rsidRPr="00D917D8">
              <w:rPr>
                <w:rFonts w:ascii="Arial Narrow" w:hAnsi="Arial Narrow"/>
                <w:b/>
                <w:bCs/>
              </w:rPr>
              <w:t>18</w:t>
            </w:r>
          </w:p>
        </w:tc>
        <w:tc>
          <w:tcPr>
            <w:tcW w:w="609" w:type="pct"/>
            <w:noWrap/>
            <w:vAlign w:val="bottom"/>
          </w:tcPr>
          <w:p w14:paraId="678AAB13" w14:textId="2BDC7B1A"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1,350,967</w:t>
            </w:r>
          </w:p>
        </w:tc>
        <w:tc>
          <w:tcPr>
            <w:tcW w:w="614" w:type="pct"/>
            <w:noWrap/>
            <w:vAlign w:val="bottom"/>
          </w:tcPr>
          <w:p w14:paraId="4DD1E838" w14:textId="669B4D66"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195,714</w:t>
            </w:r>
          </w:p>
        </w:tc>
        <w:tc>
          <w:tcPr>
            <w:tcW w:w="656" w:type="pct"/>
            <w:vAlign w:val="bottom"/>
          </w:tcPr>
          <w:p w14:paraId="08C690E7" w14:textId="4FB709C6"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622,047</w:t>
            </w:r>
          </w:p>
        </w:tc>
        <w:tc>
          <w:tcPr>
            <w:tcW w:w="502" w:type="pct"/>
            <w:vAlign w:val="bottom"/>
          </w:tcPr>
          <w:p w14:paraId="46A5E78D" w14:textId="3BFEBEC8"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533,206</w:t>
            </w:r>
          </w:p>
        </w:tc>
        <w:tc>
          <w:tcPr>
            <w:tcW w:w="476" w:type="pct"/>
            <w:vAlign w:val="bottom"/>
          </w:tcPr>
          <w:p w14:paraId="372BE532" w14:textId="36E9CDEE"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25,594</w:t>
            </w:r>
          </w:p>
        </w:tc>
        <w:tc>
          <w:tcPr>
            <w:tcW w:w="476" w:type="pct"/>
            <w:vAlign w:val="bottom"/>
          </w:tcPr>
          <w:p w14:paraId="44B19841" w14:textId="5D3DF901"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558,800</w:t>
            </w:r>
          </w:p>
        </w:tc>
        <w:tc>
          <w:tcPr>
            <w:tcW w:w="753" w:type="pct"/>
            <w:vAlign w:val="bottom"/>
          </w:tcPr>
          <w:p w14:paraId="6C2AC123" w14:textId="0446482B" w:rsidR="00D917D8" w:rsidRPr="00D917D8" w:rsidRDefault="00D917D8" w:rsidP="00D917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D917D8">
              <w:rPr>
                <w:rFonts w:ascii="Arial Narrow" w:hAnsi="Arial Narrow"/>
                <w:b/>
                <w:bCs/>
              </w:rPr>
              <w:t>6</w:t>
            </w:r>
            <w:r w:rsidR="00B15D38">
              <w:rPr>
                <w:rFonts w:ascii="Arial Narrow" w:hAnsi="Arial Narrow"/>
                <w:b/>
                <w:bCs/>
              </w:rPr>
              <w:t>6</w:t>
            </w:r>
            <w:r>
              <w:rPr>
                <w:rFonts w:ascii="Arial Narrow" w:hAnsi="Arial Narrow"/>
                <w:b/>
                <w:bCs/>
              </w:rPr>
              <w:t>%</w:t>
            </w:r>
          </w:p>
        </w:tc>
      </w:tr>
    </w:tbl>
    <w:p w14:paraId="7982BB51" w14:textId="177BAAB1" w:rsidR="00FA61BC" w:rsidRDefault="00FA61BC" w:rsidP="00BF039A">
      <w:pPr>
        <w:pStyle w:val="GraphFootnote"/>
        <w:keepNext/>
        <w:keepLines/>
        <w:ind w:left="-180"/>
      </w:pPr>
      <w:r>
        <w:t>Note: Totals may not sum due to rounding.</w:t>
      </w:r>
    </w:p>
    <w:p w14:paraId="1B18C642" w14:textId="7EFE36A1" w:rsidR="002E4A40" w:rsidRDefault="00D917D8" w:rsidP="00BF039A">
      <w:pPr>
        <w:pStyle w:val="GraphFootnote"/>
        <w:keepNext/>
        <w:keepLines/>
        <w:ind w:left="-180"/>
      </w:pPr>
      <w:r>
        <w:t>*</w:t>
      </w:r>
      <w:r w:rsidR="002E4A40" w:rsidRPr="0058712F">
        <w:t xml:space="preserve"> </w:t>
      </w:r>
      <w:r w:rsidR="002E4A40">
        <w:t xml:space="preserve">The uplift adjustment accounts for savings caused by uplift into other programs which must be removed from the HER program to avoid double counting. The adjustment accounts for both uplift in the current program year and from prior program years where the measures uplifted into are still generating savings. These adjustments are described in Appendix </w:t>
      </w:r>
      <w:r w:rsidR="002E4A40">
        <w:fldChar w:fldCharType="begin"/>
      </w:r>
      <w:r w:rsidR="002E4A40">
        <w:instrText xml:space="preserve"> REF _Ref33181676 \n \h </w:instrText>
      </w:r>
      <w:r w:rsidR="002E4A40">
        <w:fldChar w:fldCharType="separate"/>
      </w:r>
      <w:r w:rsidR="009428DA">
        <w:t>A.1.3</w:t>
      </w:r>
      <w:r w:rsidR="002E4A40">
        <w:fldChar w:fldCharType="end"/>
      </w:r>
      <w:r w:rsidR="002E4A40">
        <w:t xml:space="preserve">. </w:t>
      </w:r>
    </w:p>
    <w:p w14:paraId="03735BDF" w14:textId="111D3A97" w:rsidR="00322CEE" w:rsidRPr="00322CEE" w:rsidRDefault="00D917D8" w:rsidP="00BF039A">
      <w:pPr>
        <w:pStyle w:val="GraphFootnote"/>
        <w:keepNext/>
        <w:keepLines/>
        <w:ind w:left="-180"/>
      </w:pPr>
      <w:r>
        <w:rPr>
          <w:rFonts w:ascii="Calibri" w:hAnsi="Calibri" w:cs="Calibri"/>
        </w:rPr>
        <w:t>†</w:t>
      </w:r>
      <w:r w:rsidR="002E4A40">
        <w:rPr>
          <w:rFonts w:ascii="Calibri" w:hAnsi="Calibri" w:cs="Calibri"/>
        </w:rPr>
        <w:t xml:space="preserve"> </w:t>
      </w:r>
      <w:r w:rsidR="002E4A40" w:rsidRPr="0058712F">
        <w:t>Th</w:t>
      </w:r>
      <w:r w:rsidR="002E4A40">
        <w:t>e persistence</w:t>
      </w:r>
      <w:r w:rsidR="002E4A40" w:rsidRPr="0058712F">
        <w:t xml:space="preserve"> adjustment reduces the savings by the amount attributable to sending reports in 2019</w:t>
      </w:r>
      <w:r w:rsidR="002E4A40">
        <w:t xml:space="preserve"> to 202</w:t>
      </w:r>
      <w:r>
        <w:t>2</w:t>
      </w:r>
      <w:r w:rsidR="002E4A40" w:rsidRPr="0058712F">
        <w:t xml:space="preserve"> and is prescribed in the Adjustments to Behavior Savings to Account for Persistence measure in the </w:t>
      </w:r>
      <w:r w:rsidR="002E4A40">
        <w:t>IL-</w:t>
      </w:r>
      <w:r w:rsidR="002E4A40" w:rsidRPr="0058712F">
        <w:t xml:space="preserve">TRM. See </w:t>
      </w:r>
      <w:r w:rsidR="002E4A40">
        <w:t>IL-</w:t>
      </w:r>
      <w:r w:rsidR="002E4A40" w:rsidRPr="0058712F">
        <w:t xml:space="preserve">TRM, Measure 6.1.1, Volume 4, Version </w:t>
      </w:r>
      <w:r w:rsidR="002E4A40">
        <w:t>1</w:t>
      </w:r>
      <w:r w:rsidR="008B2593">
        <w:t>1</w:t>
      </w:r>
      <w:r w:rsidR="002E4A40" w:rsidRPr="0058712F">
        <w:t xml:space="preserve">.0. </w:t>
      </w:r>
      <w:r w:rsidR="002E4A40">
        <w:t xml:space="preserve">This is also described in Appendix </w:t>
      </w:r>
      <w:r w:rsidR="002E4A40">
        <w:fldChar w:fldCharType="begin"/>
      </w:r>
      <w:r w:rsidR="002E4A40">
        <w:instrText xml:space="preserve"> REF _Ref64938129 \n \h </w:instrText>
      </w:r>
      <w:r w:rsidR="002E4A40">
        <w:fldChar w:fldCharType="separate"/>
      </w:r>
      <w:r w:rsidR="009428DA">
        <w:t>A.1.4</w:t>
      </w:r>
      <w:r w:rsidR="002E4A40">
        <w:fldChar w:fldCharType="end"/>
      </w:r>
      <w:r w:rsidR="002E4A40">
        <w:t>.</w:t>
      </w:r>
    </w:p>
    <w:p w14:paraId="19EB0775" w14:textId="05AA1DFF" w:rsidR="002E4A40" w:rsidRPr="0058712F" w:rsidRDefault="00D917D8" w:rsidP="00BF039A">
      <w:pPr>
        <w:pStyle w:val="GraphFootnote"/>
        <w:keepNext/>
        <w:keepLines/>
        <w:ind w:left="-180"/>
      </w:pPr>
      <w:r>
        <w:rPr>
          <w:rFonts w:ascii="Calibri" w:hAnsi="Calibri" w:cs="Calibri"/>
        </w:rPr>
        <w:t>‡</w:t>
      </w:r>
      <w:r w:rsidR="002E4A40" w:rsidRPr="0058712F">
        <w:t xml:space="preserve"> The verified realization rate compares final verified savings with ex ante savings.</w:t>
      </w:r>
    </w:p>
    <w:p w14:paraId="3D0EA9FF" w14:textId="77777777" w:rsidR="004F0F97" w:rsidRDefault="004F0F97" w:rsidP="00BF039A">
      <w:pPr>
        <w:pStyle w:val="Source"/>
        <w:keepNext/>
        <w:keepLines/>
        <w:ind w:left="-180"/>
      </w:pPr>
      <w:r w:rsidRPr="00651E3A">
        <w:t>Source:</w:t>
      </w:r>
      <w:r>
        <w:t xml:space="preserve"> Guidehouse evaluation team </w:t>
      </w:r>
      <w:r w:rsidRPr="00651E3A">
        <w:t>analysis.</w:t>
      </w:r>
    </w:p>
    <w:p w14:paraId="01AF1BB1" w14:textId="77777777" w:rsidR="00020310" w:rsidRDefault="00020310" w:rsidP="004F0F97">
      <w:pPr>
        <w:pStyle w:val="Source"/>
        <w:keepNext/>
        <w:keepLines/>
      </w:pPr>
    </w:p>
    <w:p w14:paraId="61C740B2" w14:textId="7C7AABDA" w:rsidR="001B2B93" w:rsidRDefault="00F20206" w:rsidP="001B2B93">
      <w:pPr>
        <w:pStyle w:val="Heading1"/>
      </w:pPr>
      <w:bookmarkStart w:id="22" w:name="_Toc165145390"/>
      <w:r>
        <w:t>Program Savings by Measure</w:t>
      </w:r>
      <w:bookmarkEnd w:id="22"/>
    </w:p>
    <w:bookmarkEnd w:id="2"/>
    <w:bookmarkEnd w:id="3"/>
    <w:p w14:paraId="06693A08" w14:textId="00B28AF7" w:rsidR="00020310" w:rsidRDefault="00020310" w:rsidP="00020310">
      <w:pPr>
        <w:pStyle w:val="BodyText"/>
      </w:pPr>
      <w:r>
        <w:t xml:space="preserve">The HER Program includes a single measure, behavioral savings, and so the program savings and measure savings are the same. </w:t>
      </w:r>
      <w:r w:rsidRPr="007E7B1A">
        <w:t>Detailed savings are presented in</w:t>
      </w:r>
      <w:r>
        <w:t xml:space="preserve"> </w:t>
      </w:r>
      <w:r>
        <w:fldChar w:fldCharType="begin"/>
      </w:r>
      <w:r>
        <w:instrText xml:space="preserve"> REF _Ref133566407 \n \h </w:instrText>
      </w:r>
      <w:r>
        <w:fldChar w:fldCharType="separate"/>
      </w:r>
      <w:r w:rsidR="009428DA">
        <w:t>Appendix B</w:t>
      </w:r>
      <w:r>
        <w:fldChar w:fldCharType="end"/>
      </w:r>
      <w:r>
        <w:t xml:space="preserve">. </w:t>
      </w:r>
    </w:p>
    <w:p w14:paraId="2D33C468" w14:textId="77777777" w:rsidR="00F20206" w:rsidRDefault="00F20206" w:rsidP="00F20206">
      <w:pPr>
        <w:pStyle w:val="Heading1"/>
      </w:pPr>
      <w:bookmarkStart w:id="23" w:name="_Toc398546640"/>
      <w:bookmarkStart w:id="24" w:name="_Toc423009489"/>
      <w:bookmarkStart w:id="25" w:name="_Toc459627231"/>
      <w:bookmarkStart w:id="26" w:name="_Toc61360800"/>
      <w:bookmarkStart w:id="27" w:name="_Toc165145391"/>
      <w:r>
        <w:t>Impact Analysis Findings and Recommendations</w:t>
      </w:r>
      <w:bookmarkEnd w:id="23"/>
      <w:bookmarkEnd w:id="24"/>
      <w:bookmarkEnd w:id="25"/>
      <w:bookmarkEnd w:id="26"/>
      <w:bookmarkEnd w:id="27"/>
    </w:p>
    <w:p w14:paraId="30F9FD99" w14:textId="48773FFB" w:rsidR="00020310" w:rsidRPr="004B1E1E" w:rsidRDefault="00020310" w:rsidP="004B1E1E">
      <w:r w:rsidRPr="004B1E1E">
        <w:rPr>
          <w:b/>
          <w:bCs/>
        </w:rPr>
        <w:t>Finding 1.</w:t>
      </w:r>
      <w:r w:rsidRPr="004B1E1E">
        <w:t xml:space="preserve"> </w:t>
      </w:r>
      <w:proofErr w:type="gramStart"/>
      <w:r w:rsidR="004B1E1E" w:rsidRPr="004B1E1E">
        <w:t>Overall</w:t>
      </w:r>
      <w:proofErr w:type="gramEnd"/>
      <w:r w:rsidR="004B1E1E" w:rsidRPr="004B1E1E">
        <w:t xml:space="preserve"> across all three waves, Guidehouse found an energy savings realization rate of 66% compared with the program implementer ex ante savings estimate. This </w:t>
      </w:r>
      <w:r w:rsidR="005C726A">
        <w:t xml:space="preserve">analysis </w:t>
      </w:r>
      <w:r w:rsidR="004B1E1E" w:rsidRPr="004B1E1E">
        <w:t xml:space="preserve">is driven by the fact that savings from Wave 3 are included in the </w:t>
      </w:r>
      <w:proofErr w:type="spellStart"/>
      <w:proofErr w:type="gramStart"/>
      <w:r w:rsidR="004B1E1E" w:rsidRPr="004B1E1E">
        <w:t>ex ante</w:t>
      </w:r>
      <w:proofErr w:type="spellEnd"/>
      <w:proofErr w:type="gramEnd"/>
      <w:r w:rsidR="004B1E1E" w:rsidRPr="004B1E1E">
        <w:t xml:space="preserve"> savings but cannot be </w:t>
      </w:r>
      <w:r w:rsidR="004B1E1E" w:rsidRPr="004B1E1E">
        <w:lastRenderedPageBreak/>
        <w:t>claimed as the</w:t>
      </w:r>
      <w:r w:rsidR="001B0683">
        <w:t>se</w:t>
      </w:r>
      <w:r w:rsidR="004B1E1E" w:rsidRPr="004B1E1E">
        <w:t xml:space="preserve"> were not statistically different from zero at the 90% confidence level. The lack of statistical significance was found by both Guidehouse and the implementer. </w:t>
      </w:r>
      <w:r w:rsidR="004B1E1E">
        <w:t>The point estimate for Wave 3 savings was 0.11% and the 90% confidence bound ranged from -0.02% to 0.24%</w:t>
      </w:r>
      <w:r w:rsidR="001B0683">
        <w:t>.</w:t>
      </w:r>
      <w:r w:rsidR="004B1E1E">
        <w:t xml:space="preserve"> </w:t>
      </w:r>
      <w:r w:rsidR="001B0683">
        <w:t>T</w:t>
      </w:r>
      <w:r w:rsidR="004B1E1E">
        <w:t>he lack of statistical significance is driven by the low savings rather than the size of the wave.</w:t>
      </w:r>
      <w:r w:rsidR="004B1E1E">
        <w:rPr>
          <w:rStyle w:val="FootnoteReference"/>
        </w:rPr>
        <w:footnoteReference w:id="4"/>
      </w:r>
    </w:p>
    <w:p w14:paraId="0182A64F" w14:textId="77777777" w:rsidR="00020310" w:rsidRPr="004B1E1E" w:rsidRDefault="00020310" w:rsidP="00020310"/>
    <w:p w14:paraId="4A6F473F" w14:textId="08F0A273" w:rsidR="004B1E1E" w:rsidRDefault="00020310" w:rsidP="004B1E1E">
      <w:pPr>
        <w:ind w:left="540"/>
      </w:pPr>
      <w:r w:rsidRPr="004B1E1E">
        <w:rPr>
          <w:b/>
          <w:bCs/>
        </w:rPr>
        <w:t>Recommendation 1</w:t>
      </w:r>
      <w:r w:rsidR="004B1E1E">
        <w:rPr>
          <w:b/>
          <w:bCs/>
        </w:rPr>
        <w:t>a</w:t>
      </w:r>
      <w:r w:rsidRPr="004B1E1E">
        <w:rPr>
          <w:b/>
          <w:bCs/>
        </w:rPr>
        <w:t>.</w:t>
      </w:r>
      <w:r w:rsidR="004B1E1E" w:rsidRPr="004B1E1E">
        <w:t xml:space="preserve"> If possible, in future program</w:t>
      </w:r>
      <w:r w:rsidR="004B1E1E" w:rsidRPr="00190D85">
        <w:t xml:space="preserve"> years</w:t>
      </w:r>
      <w:r w:rsidR="00D75625">
        <w:t>,</w:t>
      </w:r>
      <w:r w:rsidR="004B1E1E" w:rsidRPr="00190D85">
        <w:t xml:space="preserve"> the implementer should</w:t>
      </w:r>
      <w:r w:rsidR="004B1E1E">
        <w:t xml:space="preserve"> account for statistical significance in the </w:t>
      </w:r>
      <w:proofErr w:type="spellStart"/>
      <w:proofErr w:type="gramStart"/>
      <w:r w:rsidR="004B1E1E">
        <w:t>ex ante</w:t>
      </w:r>
      <w:proofErr w:type="spellEnd"/>
      <w:proofErr w:type="gramEnd"/>
      <w:r w:rsidR="004B1E1E">
        <w:t xml:space="preserve"> savings values. Precedent is that savings from a pooled model must be statistically different from 0 at the 90% confidence level to be claimed.</w:t>
      </w:r>
      <w:r w:rsidR="004B1E1E" w:rsidRPr="00190D85">
        <w:t xml:space="preserve"> </w:t>
      </w:r>
    </w:p>
    <w:p w14:paraId="5258BE9D" w14:textId="77777777" w:rsidR="004B1E1E" w:rsidRDefault="004B1E1E" w:rsidP="004B1E1E">
      <w:pPr>
        <w:ind w:left="540"/>
      </w:pPr>
    </w:p>
    <w:p w14:paraId="2805547A" w14:textId="6CE5B5DE" w:rsidR="004B1E1E" w:rsidRPr="00190D85" w:rsidRDefault="004B1E1E" w:rsidP="004B1E1E">
      <w:pPr>
        <w:ind w:left="540"/>
      </w:pPr>
      <w:r w:rsidRPr="004B1E1E">
        <w:rPr>
          <w:b/>
          <w:bCs/>
        </w:rPr>
        <w:t>Recommendation 1</w:t>
      </w:r>
      <w:r>
        <w:rPr>
          <w:b/>
          <w:bCs/>
        </w:rPr>
        <w:t>b</w:t>
      </w:r>
      <w:r w:rsidRPr="004B1E1E">
        <w:rPr>
          <w:b/>
          <w:bCs/>
        </w:rPr>
        <w:t>.</w:t>
      </w:r>
      <w:r w:rsidRPr="004B1E1E">
        <w:t xml:space="preserve"> </w:t>
      </w:r>
      <w:r w:rsidR="00D01BD6">
        <w:t xml:space="preserve">The program and implementation teams should consider whether there are further interventions that could be done to drive more savings for Wave 3. If Wave 3 continues to deliver savings that are not statistically significant, the program and implementation teams should consider whether it makes sense to keep this wave in the program. </w:t>
      </w:r>
    </w:p>
    <w:p w14:paraId="0C32E25E" w14:textId="2A0D0731" w:rsidR="00020310" w:rsidRPr="00CB29B0" w:rsidRDefault="00020310" w:rsidP="00020310">
      <w:pPr>
        <w:ind w:left="540"/>
        <w:rPr>
          <w:highlight w:val="yellow"/>
        </w:rPr>
      </w:pPr>
      <w:r w:rsidRPr="00CB29B0">
        <w:rPr>
          <w:highlight w:val="yellow"/>
        </w:rPr>
        <w:t xml:space="preserve"> </w:t>
      </w:r>
    </w:p>
    <w:p w14:paraId="4E782EBB" w14:textId="15CCA9D6" w:rsidR="00D01BD6" w:rsidRDefault="004B1E1E" w:rsidP="00D01BD6">
      <w:r>
        <w:rPr>
          <w:b/>
          <w:bCs/>
        </w:rPr>
        <w:t>Finding 2.</w:t>
      </w:r>
      <w:r>
        <w:t xml:space="preserve"> </w:t>
      </w:r>
      <w:r w:rsidR="00D01BD6">
        <w:t xml:space="preserve">Wave 2 has relatively low savings (0.20%), though </w:t>
      </w:r>
      <w:r w:rsidR="005F6952">
        <w:t>it</w:t>
      </w:r>
      <w:r w:rsidR="00D01BD6">
        <w:t xml:space="preserve"> did have a pause in treatment (i.e., were not sent reports) in 2022. More continuous treatment could increase savings, but if savings fall slightly (as happened with Wave 3 in 2023 compared to 2022) this wave could wind up not being statistically significant. </w:t>
      </w:r>
    </w:p>
    <w:p w14:paraId="7F413488" w14:textId="73A59F83" w:rsidR="004B1E1E" w:rsidRDefault="004B1E1E" w:rsidP="004B1E1E"/>
    <w:p w14:paraId="685B4836" w14:textId="71143E56" w:rsidR="00D01BD6" w:rsidRPr="00B0102A" w:rsidRDefault="00D01BD6" w:rsidP="00D01BD6">
      <w:pPr>
        <w:ind w:left="540"/>
      </w:pPr>
      <w:r w:rsidRPr="00190D85">
        <w:rPr>
          <w:b/>
          <w:bCs/>
        </w:rPr>
        <w:t xml:space="preserve">Recommendation </w:t>
      </w:r>
      <w:r>
        <w:rPr>
          <w:b/>
          <w:bCs/>
        </w:rPr>
        <w:t>2</w:t>
      </w:r>
      <w:r w:rsidRPr="00190D85">
        <w:rPr>
          <w:b/>
          <w:bCs/>
        </w:rPr>
        <w:t>.</w:t>
      </w:r>
      <w:r w:rsidRPr="00190D85">
        <w:t xml:space="preserve"> The program team should continue to monitor savings for </w:t>
      </w:r>
      <w:r>
        <w:t>Wave 2</w:t>
      </w:r>
      <w:r w:rsidRPr="00190D85">
        <w:t xml:space="preserve"> to anticipate where savings will plateau, and determine whether additional interventions (for example, more reports) may be needed to drive further savings.</w:t>
      </w:r>
    </w:p>
    <w:p w14:paraId="6564E073" w14:textId="0F438D99" w:rsidR="0030238F" w:rsidRDefault="0030238F" w:rsidP="007C6221">
      <w:pPr>
        <w:pStyle w:val="BodyText"/>
        <w:sectPr w:rsidR="0030238F" w:rsidSect="00FA0BF8">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28" w:name="_Ref65052649"/>
      <w:bookmarkStart w:id="29" w:name="_Ref65054436"/>
      <w:bookmarkStart w:id="30" w:name="_Ref65054442"/>
      <w:bookmarkStart w:id="31" w:name="_Toc165145392"/>
      <w:r>
        <w:lastRenderedPageBreak/>
        <w:t>Impact Analysis Methodology</w:t>
      </w:r>
      <w:bookmarkEnd w:id="28"/>
      <w:bookmarkEnd w:id="29"/>
      <w:bookmarkEnd w:id="30"/>
      <w:bookmarkEnd w:id="31"/>
    </w:p>
    <w:p w14:paraId="542ACE81" w14:textId="77777777" w:rsidR="00CB29B0" w:rsidRDefault="00CB29B0" w:rsidP="00CB29B0">
      <w:pPr>
        <w:pStyle w:val="Heading6"/>
      </w:pPr>
      <w:bookmarkStart w:id="32" w:name="_Ref64939605"/>
      <w:bookmarkStart w:id="33" w:name="_Toc69284648"/>
      <w:bookmarkStart w:id="34" w:name="_Toc110421330"/>
      <w:bookmarkStart w:id="35" w:name="_Toc132900791"/>
      <w:bookmarkStart w:id="36" w:name="_Toc137824763"/>
      <w:bookmarkStart w:id="37" w:name="_Toc165145393"/>
      <w:r>
        <w:t>Savings Methodology</w:t>
      </w:r>
      <w:bookmarkEnd w:id="32"/>
      <w:bookmarkEnd w:id="33"/>
      <w:bookmarkEnd w:id="34"/>
      <w:bookmarkEnd w:id="35"/>
      <w:bookmarkEnd w:id="36"/>
      <w:bookmarkEnd w:id="37"/>
    </w:p>
    <w:p w14:paraId="0940FFC3" w14:textId="3ADFEB9B" w:rsidR="00CB29B0" w:rsidRPr="0062680B" w:rsidRDefault="00CB29B0" w:rsidP="00CB29B0">
      <w:pPr>
        <w:pStyle w:val="BodyText"/>
      </w:pPr>
      <w:r>
        <w:t>This section details the methodology employed for developing custom savings estimates for 2023. These estimates were used for verifying savings for both waves.</w:t>
      </w:r>
    </w:p>
    <w:p w14:paraId="1DA0879A" w14:textId="77777777" w:rsidR="00CB29B0" w:rsidRDefault="00CB29B0" w:rsidP="00CB29B0">
      <w:pPr>
        <w:pStyle w:val="Heading7"/>
      </w:pPr>
      <w:r>
        <w:t>Data Cleaning</w:t>
      </w:r>
    </w:p>
    <w:p w14:paraId="327ED56B" w14:textId="77777777" w:rsidR="00CB29B0" w:rsidRDefault="00CB29B0" w:rsidP="00CB29B0">
      <w:pPr>
        <w:pStyle w:val="BodyText"/>
      </w:pPr>
      <w:r>
        <w:t>The evaluation team removed customers and data points from the analysis in several steps:</w:t>
      </w:r>
    </w:p>
    <w:p w14:paraId="46CE45BC" w14:textId="77777777" w:rsidR="00CB29B0" w:rsidRPr="002C24CC" w:rsidRDefault="00CB29B0" w:rsidP="00CB29B0">
      <w:pPr>
        <w:pStyle w:val="ListParagraph"/>
        <w:keepNext/>
        <w:keepLines/>
        <w:numPr>
          <w:ilvl w:val="0"/>
          <w:numId w:val="37"/>
        </w:numPr>
        <w:spacing w:before="0" w:after="0"/>
        <w:contextualSpacing/>
      </w:pPr>
      <w:r w:rsidRPr="002C24CC">
        <w:t>Excluded data from outside of the period of examination</w:t>
      </w:r>
      <w:r>
        <w:t xml:space="preserve"> and</w:t>
      </w:r>
      <w:r w:rsidRPr="002C24CC">
        <w:t xml:space="preserve"> relevant pre-period </w:t>
      </w:r>
      <w:r>
        <w:t xml:space="preserve">for each </w:t>
      </w:r>
      <w:proofErr w:type="gramStart"/>
      <w:r>
        <w:t>wave</w:t>
      </w:r>
      <w:proofErr w:type="gramEnd"/>
    </w:p>
    <w:p w14:paraId="72560B4B" w14:textId="77777777" w:rsidR="00CB29B0" w:rsidRPr="002C24CC" w:rsidRDefault="00CB29B0" w:rsidP="00CB29B0">
      <w:pPr>
        <w:pStyle w:val="ListParagraph"/>
        <w:keepNext/>
        <w:keepLines/>
        <w:numPr>
          <w:ilvl w:val="0"/>
          <w:numId w:val="37"/>
        </w:numPr>
        <w:spacing w:before="0" w:after="0"/>
        <w:contextualSpacing/>
      </w:pPr>
      <w:r w:rsidRPr="002C24CC">
        <w:t xml:space="preserve">Removed exact duplicate </w:t>
      </w:r>
      <w:proofErr w:type="gramStart"/>
      <w:r w:rsidRPr="002C24CC">
        <w:t>observations</w:t>
      </w:r>
      <w:proofErr w:type="gramEnd"/>
    </w:p>
    <w:p w14:paraId="69FC3FD1" w14:textId="77777777" w:rsidR="00CB29B0" w:rsidRPr="002C24CC" w:rsidRDefault="00CB29B0" w:rsidP="00CB29B0">
      <w:pPr>
        <w:pStyle w:val="ListParagraph"/>
        <w:keepNext/>
        <w:keepLines/>
        <w:numPr>
          <w:ilvl w:val="0"/>
          <w:numId w:val="37"/>
        </w:numPr>
        <w:spacing w:before="0" w:after="0"/>
        <w:contextualSpacing/>
      </w:pPr>
      <w:r w:rsidRPr="002C24CC">
        <w:t>Aggregated bills that ended in the same month</w:t>
      </w:r>
    </w:p>
    <w:p w14:paraId="0D2933A2" w14:textId="77777777" w:rsidR="00CB29B0" w:rsidRDefault="00CB29B0" w:rsidP="00CB29B0">
      <w:pPr>
        <w:pStyle w:val="ListParagraph"/>
        <w:numPr>
          <w:ilvl w:val="0"/>
          <w:numId w:val="37"/>
        </w:numPr>
        <w:spacing w:before="0" w:after="0"/>
        <w:contextualSpacing/>
      </w:pPr>
      <w:r>
        <w:t xml:space="preserve">Excluded observations with a bill length greater than 90 </w:t>
      </w:r>
      <w:proofErr w:type="gramStart"/>
      <w:r>
        <w:t>days</w:t>
      </w:r>
      <w:proofErr w:type="gramEnd"/>
    </w:p>
    <w:p w14:paraId="00AE8740" w14:textId="77777777" w:rsidR="00CB29B0" w:rsidRDefault="00CB29B0" w:rsidP="00CB29B0">
      <w:pPr>
        <w:pStyle w:val="ListParagraph"/>
        <w:numPr>
          <w:ilvl w:val="0"/>
          <w:numId w:val="37"/>
        </w:numPr>
        <w:spacing w:before="0" w:after="0"/>
        <w:contextualSpacing/>
      </w:pPr>
      <w:r w:rsidRPr="002C24CC">
        <w:t xml:space="preserve">Excluded outlier observations, defined as observations with average daily usage outside plus or minus one order of magnitude from the </w:t>
      </w:r>
      <w:proofErr w:type="gramStart"/>
      <w:r w:rsidRPr="002C24CC">
        <w:t>median</w:t>
      </w:r>
      <w:proofErr w:type="gramEnd"/>
    </w:p>
    <w:p w14:paraId="42875AF9" w14:textId="77777777" w:rsidR="00CB29B0" w:rsidRDefault="00CB29B0" w:rsidP="00CB29B0">
      <w:pPr>
        <w:pStyle w:val="ListParagraph"/>
        <w:numPr>
          <w:ilvl w:val="0"/>
          <w:numId w:val="37"/>
        </w:numPr>
        <w:spacing w:before="0" w:after="0"/>
        <w:contextualSpacing/>
      </w:pPr>
      <w:r>
        <w:t>For the lagged dependent variable (LDV) model, removed observations that did not have a usage value in the same month of the pre-</w:t>
      </w:r>
      <w:proofErr w:type="gramStart"/>
      <w:r>
        <w:t>period</w:t>
      </w:r>
      <w:proofErr w:type="gramEnd"/>
    </w:p>
    <w:p w14:paraId="5DB9C930" w14:textId="77777777" w:rsidR="00CB29B0" w:rsidRDefault="00CB29B0" w:rsidP="00CB29B0">
      <w:pPr>
        <w:pStyle w:val="ListParagraph"/>
        <w:spacing w:before="0" w:after="0"/>
        <w:contextualSpacing/>
      </w:pPr>
    </w:p>
    <w:p w14:paraId="3B682DB9" w14:textId="77777777" w:rsidR="00CB29B0" w:rsidRDefault="00CB29B0" w:rsidP="00CB29B0">
      <w:pPr>
        <w:pStyle w:val="BodyText"/>
      </w:pPr>
      <w:r>
        <w:t>Across both waves, these cleaning steps removed no entire</w:t>
      </w:r>
      <w:r w:rsidRPr="00E96987">
        <w:t xml:space="preserve"> customers and</w:t>
      </w:r>
      <w:r>
        <w:t xml:space="preserve"> less than</w:t>
      </w:r>
      <w:r w:rsidRPr="00E96987">
        <w:t xml:space="preserve"> </w:t>
      </w:r>
      <w:r>
        <w:t>2</w:t>
      </w:r>
      <w:r w:rsidRPr="00E96987">
        <w:t>% of</w:t>
      </w:r>
      <w:r w:rsidRPr="003010AA">
        <w:t xml:space="preserve"> observations</w:t>
      </w:r>
      <w:r>
        <w:t xml:space="preserve"> (after </w:t>
      </w:r>
      <w:proofErr w:type="spellStart"/>
      <w:r>
        <w:t>subsetting</w:t>
      </w:r>
      <w:proofErr w:type="spellEnd"/>
      <w:r>
        <w:t xml:space="preserve"> to the relevant analysis period)</w:t>
      </w:r>
      <w:r w:rsidRPr="003010AA">
        <w:t>,</w:t>
      </w:r>
      <w:r>
        <w:t xml:space="preserve"> evenly distributed across participants and controls. This result suggests that the evaluation team’s cleaning steps did not introduce non-random biases into the data.</w:t>
      </w:r>
    </w:p>
    <w:p w14:paraId="26AEF2A4" w14:textId="77777777" w:rsidR="00CB29B0" w:rsidRDefault="00CB29B0" w:rsidP="00CB29B0">
      <w:pPr>
        <w:pStyle w:val="Heading7"/>
        <w:keepNext/>
        <w:keepLines/>
      </w:pPr>
      <w:r>
        <w:t>Modeling Methodology</w:t>
      </w:r>
    </w:p>
    <w:p w14:paraId="209F4EA7" w14:textId="77777777" w:rsidR="00CB29B0" w:rsidRPr="00DB7AE8" w:rsidRDefault="00CB29B0" w:rsidP="00571E01">
      <w:pPr>
        <w:rPr>
          <w:sz w:val="20"/>
        </w:rPr>
      </w:pPr>
      <w:r>
        <w:t xml:space="preserve">The evaluation team used LDV and linear fixed effects regression (LFER) models to estimate program </w:t>
      </w:r>
      <w:r w:rsidRPr="00DB7AE8">
        <w:t>savings.</w:t>
      </w:r>
      <w:r w:rsidRPr="00DB7AE8">
        <w:rPr>
          <w:rStyle w:val="FootnoteReference"/>
        </w:rPr>
        <w:footnoteReference w:id="5"/>
      </w:r>
      <w:r>
        <w:t xml:space="preserve"> Both approaches should, in principle, produce unbiased estimates of program savings under a wide range of conditions, but Guidehouse prefers the LDV results for two reasons. First, savings estimates produced by the LDV model tend to be more accurate and more precisely estimated than those from the LFER model</w:t>
      </w:r>
      <w:r>
        <w:rPr>
          <w:rStyle w:val="FootnoteReference"/>
        </w:rPr>
        <w:footnoteReference w:id="6"/>
      </w:r>
      <w:r>
        <w:t xml:space="preserve"> based on experience analyzing similar HER programs’ impacts and findings from the academic literature.</w:t>
      </w:r>
      <w:r>
        <w:rPr>
          <w:rStyle w:val="FootnoteReference"/>
        </w:rPr>
        <w:footnoteReference w:id="7"/>
      </w:r>
      <w:r>
        <w:t xml:space="preserve"> Second, the implementer uses a similar model for its evaluation, which makes the two sets of results more comparable. Although the LDV and LFER models are structurally very different, these should generate similar program savings estimates, assuming the RCT is well balanced with respect to the drivers of energy use. Guidehouse used the LDV results for reporting total program savings for 2022, while the LFER provided a robustness check.</w:t>
      </w:r>
    </w:p>
    <w:p w14:paraId="1A9924AD" w14:textId="77777777" w:rsidR="00CB29B0" w:rsidRDefault="00CB29B0" w:rsidP="00CB29B0">
      <w:pPr>
        <w:pStyle w:val="BodyTextHeading"/>
      </w:pPr>
      <w:r>
        <w:lastRenderedPageBreak/>
        <w:t>Lagged Dependent Variable Model</w:t>
      </w:r>
    </w:p>
    <w:p w14:paraId="0020C9AF" w14:textId="3620676C" w:rsidR="00CB29B0" w:rsidRDefault="00CB29B0" w:rsidP="00CB29B0">
      <w:pPr>
        <w:pStyle w:val="BodyText"/>
      </w:pPr>
      <w:r>
        <w:t xml:space="preserve">The LDV model controls for non-treatment differences in energy use between treatment and control customers using lagged energy use as an explanatory variable. The model frames energy use in calendar month </w:t>
      </w:r>
      <w:r>
        <w:rPr>
          <w:i/>
        </w:rPr>
        <w:t>t</w:t>
      </w:r>
      <w:r>
        <w:t xml:space="preserve"> of the post-program period as a function of both the treatment variable and energy use in the same calendar month of the pre-program period. The underlying logic is that systematic differences between control and treatment customers will be reflected in differences in their past energy use, which is highly correlated with their current energy use. Formally, the model is shown in </w:t>
      </w:r>
      <w:r>
        <w:rPr>
          <w:highlight w:val="yellow"/>
        </w:rPr>
        <w:fldChar w:fldCharType="begin"/>
      </w:r>
      <w:r>
        <w:instrText xml:space="preserve"> REF _Ref132906166 \h </w:instrText>
      </w:r>
      <w:r>
        <w:rPr>
          <w:highlight w:val="yellow"/>
        </w:rPr>
      </w:r>
      <w:r>
        <w:rPr>
          <w:highlight w:val="yellow"/>
        </w:rPr>
        <w:fldChar w:fldCharType="separate"/>
      </w:r>
      <w:r w:rsidR="009428DA">
        <w:t xml:space="preserve">Equation </w:t>
      </w:r>
      <w:r w:rsidR="009428DA">
        <w:rPr>
          <w:noProof/>
        </w:rPr>
        <w:t>A</w:t>
      </w:r>
      <w:r w:rsidR="009428DA">
        <w:noBreakHyphen/>
      </w:r>
      <w:r w:rsidR="009428DA">
        <w:rPr>
          <w:noProof/>
        </w:rPr>
        <w:t>1</w:t>
      </w:r>
      <w:r>
        <w:rPr>
          <w:highlight w:val="yellow"/>
        </w:rPr>
        <w:fldChar w:fldCharType="end"/>
      </w:r>
      <w:r>
        <w:t>.</w:t>
      </w:r>
    </w:p>
    <w:p w14:paraId="04E5E0F8" w14:textId="31A079D1" w:rsidR="00CB29B0" w:rsidRDefault="00CB29B0" w:rsidP="00CB29B0">
      <w:pPr>
        <w:pStyle w:val="Caption"/>
      </w:pPr>
      <w:bookmarkStart w:id="38" w:name="_Ref132906166"/>
      <w:bookmarkStart w:id="39" w:name="_Toc137824505"/>
      <w:bookmarkStart w:id="40" w:name="_Toc165318796"/>
      <w:r>
        <w:t xml:space="preserve">Equation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Equation \* ARABIC \s 5 </w:instrText>
      </w:r>
      <w:r w:rsidR="00372B72">
        <w:fldChar w:fldCharType="separate"/>
      </w:r>
      <w:r w:rsidR="009428DA">
        <w:rPr>
          <w:noProof/>
        </w:rPr>
        <w:t>1</w:t>
      </w:r>
      <w:r w:rsidR="00372B72">
        <w:rPr>
          <w:noProof/>
        </w:rPr>
        <w:fldChar w:fldCharType="end"/>
      </w:r>
      <w:bookmarkEnd w:id="38"/>
      <w:r>
        <w:t>. Lagged Dependent Variable Regression Model</w:t>
      </w:r>
      <w:bookmarkEnd w:id="39"/>
      <w:bookmarkEnd w:id="40"/>
    </w:p>
    <w:p w14:paraId="01F44BE3" w14:textId="77777777" w:rsidR="00CB29B0" w:rsidRDefault="00CB29B0" w:rsidP="00CB29B0">
      <w:pPr>
        <w:rPr>
          <w:rFonts w:eastAsiaTheme="minorEastAsia"/>
        </w:rPr>
      </w:pPr>
      <m:oMathPara>
        <m:oMath>
          <m:r>
            <w:rPr>
              <w:rFonts w:ascii="Cambria Math" w:hAnsi="Cambria Math"/>
            </w:rPr>
            <m:t>AD</m:t>
          </m:r>
          <m:sSub>
            <m:sSubPr>
              <m:ctrlPr>
                <w:rPr>
                  <w:rFonts w:ascii="Cambria Math" w:hAnsi="Cambria Math"/>
                  <w:i/>
                </w:rPr>
              </m:ctrlPr>
            </m:sSubPr>
            <m:e>
              <m:r>
                <w:rPr>
                  <w:rFonts w:ascii="Cambria Math" w:hAnsi="Cambria Math"/>
                </w:rPr>
                <m:t>U</m:t>
              </m:r>
            </m:e>
            <m:sub>
              <m:r>
                <w:rPr>
                  <w:rFonts w:ascii="Cambria Math" w:hAnsi="Cambria Math"/>
                </w:rPr>
                <m:t>kt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Treatmen</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jt</m:t>
                  </m:r>
                </m:sub>
              </m:sSub>
            </m:e>
          </m:nary>
          <m:r>
            <w:rPr>
              <w:rFonts w:ascii="Cambria Math"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Mont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jt</m:t>
                  </m:r>
                </m:sub>
              </m:sSub>
              <m:r>
                <w:rPr>
                  <w:rFonts w:ascii="Cambria Math" w:hAnsi="Cambria Math"/>
                  <w:sz w:val="18"/>
                </w:rPr>
                <m:t>∙ADUla</m:t>
              </m:r>
              <m:sSub>
                <m:sSubPr>
                  <m:ctrlPr>
                    <w:rPr>
                      <w:rFonts w:ascii="Cambria Math" w:hAnsi="Cambria Math"/>
                      <w:i/>
                      <w:sz w:val="18"/>
                      <w:szCs w:val="18"/>
                    </w:rPr>
                  </m:ctrlPr>
                </m:sSubPr>
                <m:e>
                  <m:r>
                    <w:rPr>
                      <w:rFonts w:ascii="Cambria Math" w:hAnsi="Cambria Math"/>
                      <w:sz w:val="18"/>
                    </w:rPr>
                    <m:t>g</m:t>
                  </m:r>
                </m:e>
                <m:sub>
                  <m:r>
                    <w:rPr>
                      <w:rFonts w:ascii="Cambria Math" w:hAnsi="Cambria Math"/>
                      <w:sz w:val="18"/>
                    </w:rPr>
                    <m:t>kt</m:t>
                  </m:r>
                </m:sub>
              </m:sSub>
            </m:e>
          </m:nary>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kt</m:t>
              </m:r>
            </m:sub>
          </m:sSub>
        </m:oMath>
      </m:oMathPara>
    </w:p>
    <w:p w14:paraId="140FF163" w14:textId="77777777" w:rsidR="00CB29B0" w:rsidRDefault="00CB29B0" w:rsidP="00CB29B0">
      <w:pPr>
        <w:keepNext/>
        <w:keepLines/>
      </w:pPr>
      <w:r>
        <w:t>Where:</w:t>
      </w:r>
    </w:p>
    <w:p w14:paraId="42AC0CD2" w14:textId="77777777" w:rsidR="00CB29B0" w:rsidRDefault="00372B72" w:rsidP="00CB29B0">
      <w:pPr>
        <w:keepNext/>
        <w:keepLines/>
        <w:spacing w:after="60"/>
        <w:ind w:firstLine="720"/>
        <w:rPr>
          <w:i/>
        </w:rPr>
      </w:pPr>
      <m:oMath>
        <m:sSub>
          <m:sSubPr>
            <m:ctrlPr>
              <w:rPr>
                <w:rFonts w:ascii="Cambria Math" w:hAnsi="Cambria Math"/>
                <w:i/>
              </w:rPr>
            </m:ctrlPr>
          </m:sSubPr>
          <m:e>
            <m:r>
              <w:rPr>
                <w:rFonts w:ascii="Cambria Math" w:hAnsi="Cambria Math"/>
              </w:rPr>
              <m:t>ADU</m:t>
            </m:r>
          </m:e>
          <m:sub>
            <m:r>
              <w:rPr>
                <w:rFonts w:ascii="Cambria Math" w:hAnsi="Cambria Math"/>
              </w:rPr>
              <m:t>kt</m:t>
            </m:r>
          </m:sub>
        </m:sSub>
      </m:oMath>
      <w:r w:rsidR="00CB29B0">
        <w:tab/>
      </w:r>
      <w:r w:rsidR="00CB29B0">
        <w:tab/>
        <w:t xml:space="preserve">is average daily consumption of therms by household </w:t>
      </w:r>
      <w:r w:rsidR="00CB29B0">
        <w:rPr>
          <w:i/>
        </w:rPr>
        <w:t>k</w:t>
      </w:r>
      <w:r w:rsidR="00CB29B0">
        <w:t xml:space="preserve"> in bill period </w:t>
      </w:r>
      <w:proofErr w:type="gramStart"/>
      <w:r w:rsidR="00CB29B0">
        <w:rPr>
          <w:i/>
        </w:rPr>
        <w:t>t</w:t>
      </w:r>
      <w:proofErr w:type="gramEnd"/>
    </w:p>
    <w:p w14:paraId="5D74A454" w14:textId="77777777" w:rsidR="00CB29B0" w:rsidRDefault="00372B72" w:rsidP="00CB29B0">
      <w:pPr>
        <w:keepNext/>
        <w:keepLines/>
        <w:spacing w:after="60"/>
        <w:ind w:left="2160" w:hanging="1440"/>
      </w:pPr>
      <m:oMath>
        <m:sSub>
          <m:sSubPr>
            <m:ctrlPr>
              <w:rPr>
                <w:rFonts w:ascii="Cambria Math" w:hAnsi="Cambria Math"/>
                <w:i/>
              </w:rPr>
            </m:ctrlPr>
          </m:sSubPr>
          <m:e>
            <m:r>
              <w:rPr>
                <w:rFonts w:ascii="Cambria Math" w:hAnsi="Cambria Math"/>
              </w:rPr>
              <m:t>Treatment</m:t>
            </m:r>
          </m:e>
          <m:sub>
            <m:r>
              <w:rPr>
                <w:rFonts w:ascii="Cambria Math" w:hAnsi="Cambria Math"/>
              </w:rPr>
              <m:t>k</m:t>
            </m:r>
          </m:sub>
        </m:sSub>
      </m:oMath>
      <w:r w:rsidR="00CB29B0">
        <w:tab/>
        <w:t xml:space="preserve">is a binary variable taking a value of 0 if household k is assigned to the control group, and 1 if assigned to the treatment </w:t>
      </w:r>
      <w:proofErr w:type="gramStart"/>
      <w:r w:rsidR="00CB29B0">
        <w:t>group</w:t>
      </w:r>
      <w:proofErr w:type="gramEnd"/>
    </w:p>
    <w:p w14:paraId="5ED1228D" w14:textId="77777777" w:rsidR="00CB29B0" w:rsidRDefault="00372B72" w:rsidP="00CB29B0">
      <w:pPr>
        <w:keepNext/>
        <w:keepLines/>
        <w:spacing w:after="60"/>
        <w:ind w:left="2160" w:hanging="1440"/>
      </w:pPr>
      <m:oMath>
        <m:sSub>
          <m:sSubPr>
            <m:ctrlPr>
              <w:rPr>
                <w:rFonts w:ascii="Cambria Math" w:hAnsi="Cambria Math"/>
                <w:i/>
              </w:rPr>
            </m:ctrlPr>
          </m:sSubPr>
          <m:e>
            <m:r>
              <w:rPr>
                <w:rFonts w:ascii="Cambria Math" w:hAnsi="Cambria Math"/>
              </w:rPr>
              <m:t>Month</m:t>
            </m:r>
          </m:e>
          <m:sub>
            <m:r>
              <w:rPr>
                <w:rFonts w:ascii="Cambria Math" w:hAnsi="Cambria Math"/>
              </w:rPr>
              <m:t>jt</m:t>
            </m:r>
          </m:sub>
        </m:sSub>
      </m:oMath>
      <w:r w:rsidR="00CB29B0">
        <w:tab/>
        <w:t>is a binary variable taking a value of 1 when j = t and 0 otherwise</w:t>
      </w:r>
      <w:r w:rsidR="00CB29B0">
        <w:rPr>
          <w:rStyle w:val="FootnoteReference"/>
        </w:rPr>
        <w:footnoteReference w:id="8"/>
      </w:r>
    </w:p>
    <w:p w14:paraId="1827549D" w14:textId="77777777" w:rsidR="00CB29B0" w:rsidRDefault="00372B72" w:rsidP="00CB29B0">
      <w:pPr>
        <w:keepNext/>
        <w:keepLines/>
        <w:spacing w:after="60"/>
        <w:ind w:left="2160" w:hanging="1440"/>
      </w:pPr>
      <m:oMath>
        <m:sSub>
          <m:sSubPr>
            <m:ctrlPr>
              <w:rPr>
                <w:rFonts w:ascii="Cambria Math" w:hAnsi="Cambria Math"/>
                <w:i/>
              </w:rPr>
            </m:ctrlPr>
          </m:sSubPr>
          <m:e>
            <m:r>
              <w:rPr>
                <w:rFonts w:ascii="Cambria Math" w:hAnsi="Cambria Math"/>
              </w:rPr>
              <m:t>ADUlag</m:t>
            </m:r>
          </m:e>
          <m:sub>
            <m:r>
              <w:rPr>
                <w:rFonts w:ascii="Cambria Math" w:hAnsi="Cambria Math"/>
              </w:rPr>
              <m:t>kt</m:t>
            </m:r>
          </m:sub>
        </m:sSub>
      </m:oMath>
      <w:r w:rsidR="00CB29B0">
        <w:tab/>
        <w:t xml:space="preserve">is household </w:t>
      </w:r>
      <w:r w:rsidR="00CB29B0">
        <w:rPr>
          <w:i/>
        </w:rPr>
        <w:t>k</w:t>
      </w:r>
      <w:r w:rsidR="00CB29B0">
        <w:t xml:space="preserve">’s energy use in the same calendar month of the pre-program year as the calendar month of month </w:t>
      </w:r>
      <w:proofErr w:type="gramStart"/>
      <w:r w:rsidR="00CB29B0">
        <w:rPr>
          <w:i/>
        </w:rPr>
        <w:t>t</w:t>
      </w:r>
      <w:proofErr w:type="gramEnd"/>
    </w:p>
    <w:p w14:paraId="37E5D943" w14:textId="77777777" w:rsidR="00CB29B0" w:rsidRDefault="00372B72" w:rsidP="00CB29B0">
      <w:pPr>
        <w:keepLines/>
        <w:spacing w:after="60"/>
        <w:ind w:left="2160" w:hanging="1440"/>
      </w:pPr>
      <m:oMath>
        <m:sSub>
          <m:sSubPr>
            <m:ctrlPr>
              <w:rPr>
                <w:rFonts w:ascii="Cambria Math" w:hAnsi="Cambria Math"/>
                <w:i/>
              </w:rPr>
            </m:ctrlPr>
          </m:sSubPr>
          <m:e>
            <m:r>
              <w:rPr>
                <w:rFonts w:ascii="Cambria Math" w:hAnsi="Cambria Math"/>
              </w:rPr>
              <m:t>ε</m:t>
            </m:r>
          </m:e>
          <m:sub>
            <m:r>
              <w:rPr>
                <w:rFonts w:ascii="Cambria Math" w:hAnsi="Cambria Math"/>
              </w:rPr>
              <m:t>kt</m:t>
            </m:r>
          </m:sub>
        </m:sSub>
      </m:oMath>
      <w:r w:rsidR="00CB29B0">
        <w:rPr>
          <w:rFonts w:ascii="Verdana" w:hAnsi="Verdana"/>
        </w:rPr>
        <w:t xml:space="preserve"> </w:t>
      </w:r>
      <w:r w:rsidR="00CB29B0">
        <w:rPr>
          <w:rFonts w:ascii="Verdana" w:hAnsi="Verdana"/>
        </w:rPr>
        <w:tab/>
      </w:r>
      <w:r w:rsidR="00CB29B0">
        <w:t xml:space="preserve">is the cluster-robust error term for household </w:t>
      </w:r>
      <w:r w:rsidR="00CB29B0">
        <w:rPr>
          <w:i/>
        </w:rPr>
        <w:t>k</w:t>
      </w:r>
      <w:r w:rsidR="00CB29B0">
        <w:t xml:space="preserve"> during billing cycle </w:t>
      </w:r>
      <w:r w:rsidR="00CB29B0">
        <w:rPr>
          <w:i/>
        </w:rPr>
        <w:t xml:space="preserve">t; </w:t>
      </w:r>
      <w:r w:rsidR="00CB29B0">
        <w:t xml:space="preserve">cluster-robust errors account for heteroskedasticity and autocorrelation at the household </w:t>
      </w:r>
      <w:proofErr w:type="gramStart"/>
      <w:r w:rsidR="00CB29B0">
        <w:t>level</w:t>
      </w:r>
      <w:proofErr w:type="gramEnd"/>
    </w:p>
    <w:p w14:paraId="07CCAB19" w14:textId="77777777" w:rsidR="00CB29B0" w:rsidRDefault="00CB29B0" w:rsidP="00CB29B0">
      <w:pPr>
        <w:keepLines/>
        <w:ind w:left="2160" w:hanging="1440"/>
      </w:pPr>
    </w:p>
    <w:p w14:paraId="51CC83B2" w14:textId="77777777" w:rsidR="00CB29B0" w:rsidRDefault="00CB29B0" w:rsidP="00CB29B0">
      <w:pPr>
        <w:pStyle w:val="BodyText"/>
      </w:pPr>
      <w:r>
        <w:t xml:space="preserve">The coefficient </w:t>
      </w:r>
      <w:r>
        <w:rPr>
          <w:rFonts w:cs="Arial"/>
        </w:rPr>
        <w:t>β</w:t>
      </w:r>
      <w:r>
        <w:rPr>
          <w:rFonts w:cs="Arial"/>
          <w:vertAlign w:val="subscript"/>
        </w:rPr>
        <w:t>1</w:t>
      </w:r>
      <w:r>
        <w:t xml:space="preserve"> is the estimate of average daily therms energy savings due to the program.</w:t>
      </w:r>
    </w:p>
    <w:p w14:paraId="2DE5248C" w14:textId="77777777" w:rsidR="00CB29B0" w:rsidRDefault="00CB29B0" w:rsidP="00CB29B0">
      <w:pPr>
        <w:pStyle w:val="BodyTextBold"/>
        <w:keepNext/>
      </w:pPr>
      <w:r>
        <w:t>Linear Fixed Effects Regression Model</w:t>
      </w:r>
    </w:p>
    <w:p w14:paraId="4AB7E361" w14:textId="77777777" w:rsidR="00CB29B0" w:rsidRDefault="00CB29B0" w:rsidP="00CB29B0">
      <w:pPr>
        <w:pStyle w:val="BodyText"/>
      </w:pPr>
      <w:r>
        <w:t xml:space="preserve">The LFER model used by the evaluation team is one in which the average daily consumption of therms by household </w:t>
      </w:r>
      <w:r>
        <w:rPr>
          <w:i/>
        </w:rPr>
        <w:t>k</w:t>
      </w:r>
      <w:r>
        <w:t xml:space="preserve"> in bill period </w:t>
      </w:r>
      <w:r>
        <w:rPr>
          <w:i/>
        </w:rPr>
        <w:t>t</w:t>
      </w:r>
      <w:r>
        <w:t xml:space="preserve">, denoted by </w:t>
      </w:r>
      <w:proofErr w:type="spellStart"/>
      <w:r>
        <w:rPr>
          <w:i/>
        </w:rPr>
        <w:t>ADU</w:t>
      </w:r>
      <w:r>
        <w:rPr>
          <w:i/>
          <w:vertAlign w:val="subscript"/>
        </w:rPr>
        <w:t>kt</w:t>
      </w:r>
      <w:proofErr w:type="spellEnd"/>
      <w:r>
        <w:rPr>
          <w:i/>
        </w:rPr>
        <w:t xml:space="preserve"> </w:t>
      </w:r>
      <w:r>
        <w:t>is a function of the following three terms:</w:t>
      </w:r>
    </w:p>
    <w:p w14:paraId="0B9AD5E3" w14:textId="77777777" w:rsidR="00CB29B0" w:rsidRDefault="00CB29B0" w:rsidP="00CB29B0">
      <w:pPr>
        <w:pStyle w:val="ListParagraph"/>
        <w:numPr>
          <w:ilvl w:val="0"/>
          <w:numId w:val="38"/>
        </w:numPr>
      </w:pPr>
      <w:r>
        <w:t xml:space="preserve">The binary variable </w:t>
      </w:r>
      <w:proofErr w:type="spellStart"/>
      <w:r>
        <w:rPr>
          <w:i/>
        </w:rPr>
        <w:t>Treatment</w:t>
      </w:r>
      <w:r>
        <w:rPr>
          <w:i/>
          <w:vertAlign w:val="subscript"/>
        </w:rPr>
        <w:t>k</w:t>
      </w:r>
      <w:proofErr w:type="spellEnd"/>
      <w:r>
        <w:rPr>
          <w:vertAlign w:val="subscript"/>
        </w:rPr>
        <w:t>.</w:t>
      </w:r>
    </w:p>
    <w:p w14:paraId="4E0C0A2E" w14:textId="77777777" w:rsidR="00CB29B0" w:rsidRDefault="00CB29B0" w:rsidP="00CB29B0">
      <w:pPr>
        <w:pStyle w:val="ListParagraph"/>
        <w:numPr>
          <w:ilvl w:val="0"/>
          <w:numId w:val="38"/>
        </w:numPr>
      </w:pPr>
      <w:r>
        <w:t xml:space="preserve">The binary variable </w:t>
      </w:r>
      <w:proofErr w:type="spellStart"/>
      <w:r>
        <w:rPr>
          <w:i/>
        </w:rPr>
        <w:t>Post</w:t>
      </w:r>
      <w:r>
        <w:rPr>
          <w:i/>
          <w:vertAlign w:val="subscript"/>
        </w:rPr>
        <w:t>t</w:t>
      </w:r>
      <w:proofErr w:type="spellEnd"/>
      <w:r>
        <w:t xml:space="preserve">, taking a value of 0 if month </w:t>
      </w:r>
      <w:r>
        <w:rPr>
          <w:i/>
        </w:rPr>
        <w:t>t</w:t>
      </w:r>
      <w:r>
        <w:t xml:space="preserve"> is in the pre-treatment period, and 1 if in the post-treatment </w:t>
      </w:r>
      <w:proofErr w:type="gramStart"/>
      <w:r>
        <w:t>period</w:t>
      </w:r>
      <w:proofErr w:type="gramEnd"/>
    </w:p>
    <w:p w14:paraId="3EEF60B3" w14:textId="77777777" w:rsidR="00CB29B0" w:rsidRDefault="00CB29B0" w:rsidP="00CB29B0">
      <w:pPr>
        <w:pStyle w:val="ListParagraph"/>
        <w:numPr>
          <w:ilvl w:val="0"/>
          <w:numId w:val="38"/>
        </w:numPr>
      </w:pPr>
      <w:r>
        <w:t xml:space="preserve">The interaction between these variables, </w:t>
      </w:r>
      <w:proofErr w:type="spellStart"/>
      <w:r>
        <w:rPr>
          <w:i/>
        </w:rPr>
        <w:t>Treatment</w:t>
      </w:r>
      <w:r>
        <w:rPr>
          <w:i/>
          <w:vertAlign w:val="subscript"/>
        </w:rPr>
        <w:t>k</w:t>
      </w:r>
      <w:proofErr w:type="spellEnd"/>
      <w:r>
        <w:rPr>
          <w:i/>
          <w:vertAlign w:val="subscript"/>
        </w:rPr>
        <w:t xml:space="preserve"> </w:t>
      </w:r>
      <w:r>
        <w:t>·</w:t>
      </w:r>
      <w:proofErr w:type="spellStart"/>
      <w:r>
        <w:rPr>
          <w:i/>
        </w:rPr>
        <w:t>Post</w:t>
      </w:r>
      <w:r>
        <w:rPr>
          <w:i/>
          <w:vertAlign w:val="subscript"/>
        </w:rPr>
        <w:t>t</w:t>
      </w:r>
      <w:proofErr w:type="spellEnd"/>
    </w:p>
    <w:p w14:paraId="005D92A4" w14:textId="77777777" w:rsidR="00CB29B0" w:rsidRDefault="00CB29B0" w:rsidP="00CB29B0"/>
    <w:p w14:paraId="20CF485D" w14:textId="01D95059" w:rsidR="00CB29B0" w:rsidRDefault="00CB29B0" w:rsidP="00CB29B0">
      <w:pPr>
        <w:pStyle w:val="BodyText"/>
      </w:pPr>
      <w:r>
        <w:t xml:space="preserve">Formally, the LFER model is shown in </w:t>
      </w:r>
      <w:r>
        <w:rPr>
          <w:highlight w:val="yellow"/>
        </w:rPr>
        <w:fldChar w:fldCharType="begin"/>
      </w:r>
      <w:r>
        <w:instrText xml:space="preserve"> REF _Ref132906210 \h </w:instrText>
      </w:r>
      <w:r>
        <w:rPr>
          <w:highlight w:val="yellow"/>
        </w:rPr>
      </w:r>
      <w:r>
        <w:rPr>
          <w:highlight w:val="yellow"/>
        </w:rPr>
        <w:fldChar w:fldCharType="separate"/>
      </w:r>
      <w:r w:rsidR="009428DA">
        <w:t xml:space="preserve">Equation </w:t>
      </w:r>
      <w:r w:rsidR="009428DA">
        <w:rPr>
          <w:noProof/>
        </w:rPr>
        <w:t>A</w:t>
      </w:r>
      <w:r w:rsidR="009428DA">
        <w:noBreakHyphen/>
      </w:r>
      <w:r w:rsidR="009428DA">
        <w:rPr>
          <w:noProof/>
        </w:rPr>
        <w:t>2</w:t>
      </w:r>
      <w:r>
        <w:rPr>
          <w:highlight w:val="yellow"/>
        </w:rPr>
        <w:fldChar w:fldCharType="end"/>
      </w:r>
      <w:r>
        <w:t>.</w:t>
      </w:r>
    </w:p>
    <w:p w14:paraId="4B17E6C3" w14:textId="261D6A88" w:rsidR="00CB29B0" w:rsidRDefault="00CB29B0" w:rsidP="00CB29B0">
      <w:pPr>
        <w:pStyle w:val="Caption"/>
      </w:pPr>
      <w:bookmarkStart w:id="41" w:name="_Ref132906210"/>
      <w:bookmarkStart w:id="42" w:name="_Ref132906201"/>
      <w:bookmarkStart w:id="43" w:name="_Toc137824506"/>
      <w:bookmarkStart w:id="44" w:name="_Toc165318797"/>
      <w:r>
        <w:t xml:space="preserve">Equation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Equation \* ARABIC \s 5 </w:instrText>
      </w:r>
      <w:r w:rsidR="00372B72">
        <w:fldChar w:fldCharType="separate"/>
      </w:r>
      <w:r w:rsidR="009428DA">
        <w:rPr>
          <w:noProof/>
        </w:rPr>
        <w:t>2</w:t>
      </w:r>
      <w:r w:rsidR="00372B72">
        <w:rPr>
          <w:noProof/>
        </w:rPr>
        <w:fldChar w:fldCharType="end"/>
      </w:r>
      <w:bookmarkEnd w:id="41"/>
      <w:r>
        <w:t>. Linear Fixed Effects Regression Model</w:t>
      </w:r>
      <w:bookmarkEnd w:id="42"/>
      <w:bookmarkEnd w:id="43"/>
      <w:bookmarkEnd w:id="44"/>
    </w:p>
    <w:p w14:paraId="6EFC99EF" w14:textId="77777777" w:rsidR="00CB29B0" w:rsidRPr="00660CCA" w:rsidRDefault="00372B72" w:rsidP="00CB29B0">
      <w:pPr>
        <w:rPr>
          <w:rFonts w:ascii="Cambria Math" w:hAnsi="Cambria Math"/>
          <w:i/>
        </w:rPr>
      </w:pPr>
      <m:oMathPara>
        <m:oMath>
          <m:sSub>
            <m:sSubPr>
              <m:ctrlPr>
                <w:rPr>
                  <w:rFonts w:ascii="Cambria Math" w:hAnsi="Cambria Math"/>
                  <w:i/>
                </w:rPr>
              </m:ctrlPr>
            </m:sSubPr>
            <m:e>
              <m:r>
                <w:rPr>
                  <w:rFonts w:ascii="Cambria Math" w:hAnsi="Cambria Math"/>
                </w:rPr>
                <m:t>ADU</m:t>
              </m:r>
            </m:e>
            <m:sub>
              <m:r>
                <w:rPr>
                  <w:rFonts w:ascii="Cambria Math" w:hAnsi="Cambria Math"/>
                </w:rPr>
                <m:t>kt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0k</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Treatment</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kt</m:t>
              </m:r>
            </m:sub>
          </m:sSub>
        </m:oMath>
      </m:oMathPara>
    </w:p>
    <w:p w14:paraId="6BAA5085" w14:textId="77777777" w:rsidR="00CB29B0" w:rsidRDefault="00CB29B0" w:rsidP="00CB29B0">
      <w:pPr>
        <w:rPr>
          <w:rFonts w:eastAsiaTheme="minorEastAsia"/>
        </w:rPr>
      </w:pPr>
    </w:p>
    <w:p w14:paraId="7FDFF154" w14:textId="77777777" w:rsidR="00CB29B0" w:rsidRDefault="00CB29B0" w:rsidP="00CB29B0">
      <w:pPr>
        <w:pStyle w:val="BodyText"/>
      </w:pPr>
      <w:r>
        <w:rPr>
          <w:rFonts w:eastAsiaTheme="minorEastAsia"/>
        </w:rPr>
        <w:lastRenderedPageBreak/>
        <w:t xml:space="preserve">Coefficient </w:t>
      </w:r>
      <w:r>
        <w:t>α</w:t>
      </w:r>
      <w:r>
        <w:rPr>
          <w:vertAlign w:val="subscript"/>
        </w:rPr>
        <w:t>0k</w:t>
      </w:r>
      <w:r>
        <w:t xml:space="preserve"> captures all household-specific effects on energy use that do not change over time, including those that are unobservable. Coefficient α</w:t>
      </w:r>
      <w:r>
        <w:rPr>
          <w:vertAlign w:val="subscript"/>
        </w:rPr>
        <w:t>1</w:t>
      </w:r>
      <w:r>
        <w:t xml:space="preserve"> captures the average effect across all households of being in the post-treatment period. The effect of being both in the treatment group and in the post period, i.e., the effect directly attributable to the program, is captured by the coefficient α</w:t>
      </w:r>
      <w:r>
        <w:rPr>
          <w:vertAlign w:val="subscript"/>
        </w:rPr>
        <w:t>2</w:t>
      </w:r>
      <w:r>
        <w:t>. In other words, whereas the coefficient α</w:t>
      </w:r>
      <w:r>
        <w:rPr>
          <w:vertAlign w:val="subscript"/>
        </w:rPr>
        <w:t>1</w:t>
      </w:r>
      <w:r>
        <w:t xml:space="preserve"> captures the change in average daily therms use across the pre- and post-treatment for the control group, the sum α</w:t>
      </w:r>
      <w:r>
        <w:rPr>
          <w:vertAlign w:val="subscript"/>
        </w:rPr>
        <w:t>1</w:t>
      </w:r>
      <w:r>
        <w:t>+α</w:t>
      </w:r>
      <w:r>
        <w:rPr>
          <w:vertAlign w:val="subscript"/>
        </w:rPr>
        <w:t>2</w:t>
      </w:r>
      <w:r>
        <w:t xml:space="preserve"> captures this change for the treatment group and so α</w:t>
      </w:r>
      <w:r>
        <w:rPr>
          <w:vertAlign w:val="subscript"/>
        </w:rPr>
        <w:t>2</w:t>
      </w:r>
      <w:r>
        <w:t xml:space="preserve"> is the estimate of average daily therms energy savings due to the program.</w:t>
      </w:r>
    </w:p>
    <w:p w14:paraId="4D3A1CD3" w14:textId="77777777" w:rsidR="00CB29B0" w:rsidRDefault="00CB29B0" w:rsidP="00CB29B0">
      <w:pPr>
        <w:pStyle w:val="Heading7"/>
      </w:pPr>
      <w:bookmarkStart w:id="45" w:name="_Ref33181676"/>
      <w:r>
        <w:t>Accounting for Uplift in Other Energy Efficiency Programs</w:t>
      </w:r>
      <w:bookmarkEnd w:id="45"/>
    </w:p>
    <w:p w14:paraId="4970A77D" w14:textId="0AE14230" w:rsidR="00CB29B0" w:rsidRDefault="00CB29B0" w:rsidP="00CB29B0">
      <w:pPr>
        <w:pStyle w:val="BodyTextBold"/>
      </w:pPr>
      <w:bookmarkStart w:id="46" w:name="_Ref33189523"/>
      <w:r>
        <w:t xml:space="preserve">Accounting for Uplift in </w:t>
      </w:r>
      <w:bookmarkEnd w:id="46"/>
      <w:r>
        <w:t>2023</w:t>
      </w:r>
    </w:p>
    <w:p w14:paraId="01D64247" w14:textId="32247947" w:rsidR="00CB29B0" w:rsidRDefault="00CB29B0" w:rsidP="00CB29B0">
      <w:pPr>
        <w:rPr>
          <w:sz w:val="20"/>
        </w:rPr>
      </w:pPr>
      <w:r>
        <w:t xml:space="preserve">The home energy reports sent to participating households included energy-saving tips, some of which encouraged participants to enroll in other Nicor Gas energy efficiency (EE) programs. If participation rates in other EE programs were the same for HER participant and control groups, the savings estimates from the regression analysis are already “net” of savings from the other programs, as this indicates the HER Program had no net effect on participation in the other EE programs. However, if the receipt of reports increased participation rates of recipients relative to controls in other EE programs, then the combined savings across all programs would be lower than indicated by the simple summation of savings in the HER and the other EE programs. For instance, if the HER Program increases participation in another EE program, the resulting increase (“uplift”) in savings may be allocated to either the HER Program or the EE </w:t>
      </w:r>
      <w:proofErr w:type="gramStart"/>
      <w:r>
        <w:t>program</w:t>
      </w:r>
      <w:r w:rsidR="00D5394F">
        <w:t>,</w:t>
      </w:r>
      <w:r>
        <w:t xml:space="preserve"> but</w:t>
      </w:r>
      <w:proofErr w:type="gramEnd"/>
      <w:r>
        <w:t xml:space="preserve"> cannot be allocated to both programs simultaneously.</w:t>
      </w:r>
      <w:r>
        <w:rPr>
          <w:rStyle w:val="FootnoteReference"/>
        </w:rPr>
        <w:footnoteReference w:id="9"/>
      </w:r>
      <w:r w:rsidRPr="00225D12">
        <w:t xml:space="preserve"> </w:t>
      </w:r>
      <w:r>
        <w:t>When the HER Program decreases participation in other programs, there is no issue of double counting, and no adjustment to the savings total is made.</w:t>
      </w:r>
    </w:p>
    <w:p w14:paraId="13B9456F" w14:textId="77777777" w:rsidR="00CB29B0" w:rsidRDefault="00CB29B0" w:rsidP="00CB29B0">
      <w:pPr>
        <w:rPr>
          <w:highlight w:val="yellow"/>
        </w:rPr>
      </w:pPr>
    </w:p>
    <w:p w14:paraId="45A96A2D" w14:textId="2B6A4E6A" w:rsidR="00CB29B0" w:rsidRDefault="00CB29B0" w:rsidP="00CB29B0">
      <w:pPr>
        <w:tabs>
          <w:tab w:val="left" w:pos="9000"/>
        </w:tabs>
        <w:rPr>
          <w:rFonts w:cs="Arial"/>
        </w:rPr>
      </w:pPr>
      <w:r>
        <w:rPr>
          <w:rFonts w:cs="Arial"/>
        </w:rPr>
        <w:t xml:space="preserve">As data permitted, Guidehouse used a difference-in-difference (DID) statistic to estimate uplift in other EE programs. To calculate the DID statistic, Guidehouse calculated the difference </w:t>
      </w:r>
      <w:r>
        <w:t>between the HER treatment and control groups in average EE program savings per customer in the post period,</w:t>
      </w:r>
      <w:r>
        <w:rPr>
          <w:rStyle w:val="FootnoteReference"/>
        </w:rPr>
        <w:footnoteReference w:id="10"/>
      </w:r>
      <w:r>
        <w:t xml:space="preserve"> and subtracted the same difference from the pre-period</w:t>
      </w:r>
      <w:r w:rsidRPr="00E95B1B">
        <w:t>.</w:t>
      </w:r>
      <w:r w:rsidRPr="00E95B1B">
        <w:rPr>
          <w:rStyle w:val="FootnoteReference"/>
        </w:rPr>
        <w:footnoteReference w:id="11"/>
      </w:r>
      <w:r w:rsidRPr="00E95B1B">
        <w:rPr>
          <w:rFonts w:cs="Arial"/>
        </w:rPr>
        <w:t xml:space="preserve"> For in</w:t>
      </w:r>
      <w:r>
        <w:rPr>
          <w:rFonts w:cs="Arial"/>
        </w:rPr>
        <w:t xml:space="preserve">stance, if the EE program savings during 2023 is five therms for the treatment group and three therms for the control group, and the savings during the year before the start of the HER Program is two therms for the treatment group and one therm for the control group, then the DID statistic is one therm, as reflected in </w:t>
      </w:r>
      <w:r>
        <w:rPr>
          <w:rFonts w:cs="Arial"/>
        </w:rPr>
        <w:fldChar w:fldCharType="begin"/>
      </w:r>
      <w:r>
        <w:rPr>
          <w:rFonts w:cs="Arial"/>
        </w:rPr>
        <w:instrText xml:space="preserve"> REF _Ref132906255 \h </w:instrText>
      </w:r>
      <w:r>
        <w:rPr>
          <w:rFonts w:cs="Arial"/>
        </w:rPr>
      </w:r>
      <w:r>
        <w:rPr>
          <w:rFonts w:cs="Arial"/>
        </w:rPr>
        <w:fldChar w:fldCharType="separate"/>
      </w:r>
      <w:r w:rsidR="009428DA">
        <w:t xml:space="preserve">Equation </w:t>
      </w:r>
      <w:r w:rsidR="009428DA">
        <w:rPr>
          <w:noProof/>
        </w:rPr>
        <w:t>A</w:t>
      </w:r>
      <w:r w:rsidR="009428DA">
        <w:noBreakHyphen/>
      </w:r>
      <w:r w:rsidR="009428DA">
        <w:rPr>
          <w:noProof/>
        </w:rPr>
        <w:t>3</w:t>
      </w:r>
      <w:r>
        <w:rPr>
          <w:rFonts w:cs="Arial"/>
        </w:rPr>
        <w:fldChar w:fldCharType="end"/>
      </w:r>
    </w:p>
    <w:p w14:paraId="0F5B0955" w14:textId="77777777" w:rsidR="00CB29B0" w:rsidRDefault="00CB29B0" w:rsidP="00CB29B0">
      <w:pPr>
        <w:rPr>
          <w:rFonts w:cs="Arial"/>
        </w:rPr>
      </w:pPr>
    </w:p>
    <w:p w14:paraId="3281B235" w14:textId="693C73D8" w:rsidR="00CB29B0" w:rsidRDefault="00CB29B0" w:rsidP="00CB29B0">
      <w:pPr>
        <w:pStyle w:val="Caption"/>
      </w:pPr>
      <w:bookmarkStart w:id="47" w:name="_Ref132906255"/>
      <w:bookmarkStart w:id="48" w:name="_Toc137824507"/>
      <w:bookmarkStart w:id="49" w:name="_Ref164087557"/>
      <w:bookmarkStart w:id="50" w:name="_Toc165318798"/>
      <w:r>
        <w:t xml:space="preserve">Equation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Equation \* ARABIC \s 5 </w:instrText>
      </w:r>
      <w:r w:rsidR="00372B72">
        <w:fldChar w:fldCharType="separate"/>
      </w:r>
      <w:r w:rsidR="009428DA">
        <w:rPr>
          <w:noProof/>
        </w:rPr>
        <w:t>3</w:t>
      </w:r>
      <w:r w:rsidR="00372B72">
        <w:rPr>
          <w:noProof/>
        </w:rPr>
        <w:fldChar w:fldCharType="end"/>
      </w:r>
      <w:bookmarkEnd w:id="47"/>
      <w:r>
        <w:t>. Current Year Uplift Calculation</w:t>
      </w:r>
      <w:bookmarkEnd w:id="48"/>
      <w:bookmarkEnd w:id="49"/>
      <w:bookmarkEnd w:id="50"/>
    </w:p>
    <w:p w14:paraId="349E7B2A" w14:textId="05E9307A" w:rsidR="00CB29B0" w:rsidRDefault="00CB29B0" w:rsidP="00CB29B0">
      <w:pPr>
        <w:jc w:val="center"/>
        <w:rPr>
          <w:rFonts w:cs="Arial"/>
        </w:rPr>
      </w:pPr>
      <w:r>
        <w:rPr>
          <w:rFonts w:cs="Arial"/>
        </w:rPr>
        <w:t>(2023 treatment group savings – 2023 control group savings) – (pre-year treatment group savings - pre-year control group savings) = DID statistic</w:t>
      </w:r>
    </w:p>
    <w:p w14:paraId="3EE7C0EA" w14:textId="77777777" w:rsidR="00CB29B0" w:rsidRDefault="00CB29B0" w:rsidP="00CB29B0">
      <w:pPr>
        <w:jc w:val="center"/>
      </w:pPr>
      <w:r>
        <w:t xml:space="preserve">(5 </w:t>
      </w:r>
      <w:r>
        <w:sym w:font="Symbol" w:char="F02D"/>
      </w:r>
      <w:r>
        <w:t xml:space="preserve"> 3) </w:t>
      </w:r>
      <w:r>
        <w:sym w:font="Symbol" w:char="F02D"/>
      </w:r>
      <w:r>
        <w:t xml:space="preserve"> (2 </w:t>
      </w:r>
      <w:r>
        <w:sym w:font="Symbol" w:char="F02D"/>
      </w:r>
      <w:r>
        <w:t xml:space="preserve"> 1) = 1</w:t>
      </w:r>
    </w:p>
    <w:p w14:paraId="5BE0B5DC" w14:textId="77777777" w:rsidR="00CB29B0" w:rsidRDefault="00CB29B0" w:rsidP="00CB29B0">
      <w:pPr>
        <w:rPr>
          <w:rFonts w:cs="Arial"/>
        </w:rPr>
      </w:pPr>
    </w:p>
    <w:p w14:paraId="56ADA57E" w14:textId="77777777" w:rsidR="00CB29B0" w:rsidRDefault="00CB29B0" w:rsidP="00CB29B0">
      <w:pPr>
        <w:rPr>
          <w:rFonts w:cs="Arial"/>
        </w:rPr>
      </w:pPr>
      <w:r>
        <w:rPr>
          <w:rFonts w:cs="Arial"/>
        </w:rPr>
        <w:t xml:space="preserve">The DID statistic generates an unbiased estimate of uplift when the baseline average savings is the same for the treatment and control groups, or when these values are different due only to </w:t>
      </w:r>
      <w:r>
        <w:rPr>
          <w:rFonts w:cs="Arial"/>
        </w:rPr>
        <w:lastRenderedPageBreak/>
        <w:t>differences between the two groups in time-invariant factors, such as the square footage of the residence.</w:t>
      </w:r>
    </w:p>
    <w:p w14:paraId="5EB2B42E" w14:textId="77777777" w:rsidR="00CB29B0" w:rsidRDefault="00CB29B0" w:rsidP="00CB29B0">
      <w:pPr>
        <w:ind w:left="1440" w:hanging="1440"/>
        <w:rPr>
          <w:rFonts w:cs="Arial"/>
        </w:rPr>
      </w:pPr>
    </w:p>
    <w:p w14:paraId="08B727A6" w14:textId="66C991FF" w:rsidR="00CB29B0" w:rsidRDefault="00CB29B0" w:rsidP="00CB29B0">
      <w:pPr>
        <w:rPr>
          <w:rFonts w:cs="Arial"/>
        </w:rPr>
      </w:pPr>
      <w:r>
        <w:rPr>
          <w:rFonts w:cs="Arial"/>
        </w:rPr>
        <w:t xml:space="preserve">An alternative statistic that generates an unbiased estimate of uplift when the baseline average savings in the EE program is the same for the treatment and control groups, is a simple difference in savings during 2023. </w:t>
      </w:r>
      <w:r>
        <w:t xml:space="preserve">Guidehouse </w:t>
      </w:r>
      <w:r>
        <w:rPr>
          <w:rFonts w:cs="Arial"/>
        </w:rPr>
        <w:t>uses this alternative statistic –the “post-only difference” (POD) statistic – in cases where the EE program did not exist for the entire pre-program year.</w:t>
      </w:r>
    </w:p>
    <w:p w14:paraId="7578C419" w14:textId="77777777" w:rsidR="00CB29B0" w:rsidRDefault="00CB29B0" w:rsidP="00CB29B0"/>
    <w:p w14:paraId="3507E726" w14:textId="77777777" w:rsidR="00CB29B0" w:rsidRDefault="00CB29B0" w:rsidP="00CB29B0">
      <w:r>
        <w:t xml:space="preserve">Guidehouse examined the uplift associated </w:t>
      </w:r>
      <w:r w:rsidRPr="00225D12">
        <w:t>with four other Nicor Gas programs: E</w:t>
      </w:r>
      <w:r>
        <w:t>nergy Savings Kits (ESK), Home Energy Efficiency Rebates (HEER), Home Energy Savings (HES), market rate Multi-Family (MF), and Income Eligible (IE)</w:t>
      </w:r>
      <w:r>
        <w:rPr>
          <w:rStyle w:val="FootnoteReference"/>
        </w:rPr>
        <w:footnoteReference w:id="12"/>
      </w:r>
      <w:r>
        <w:t xml:space="preserve">. </w:t>
      </w:r>
    </w:p>
    <w:p w14:paraId="0B3B5E38" w14:textId="77777777" w:rsidR="00CB29B0" w:rsidRDefault="00CB29B0" w:rsidP="00CB29B0"/>
    <w:p w14:paraId="7F9A53C5" w14:textId="77777777" w:rsidR="00CB29B0" w:rsidRDefault="00CB29B0" w:rsidP="00CB29B0">
      <w:pPr>
        <w:pStyle w:val="BodyTextBold"/>
      </w:pPr>
      <w:r>
        <w:t>Accounting for Legacy Uplift</w:t>
      </w:r>
    </w:p>
    <w:p w14:paraId="5E8CAD11" w14:textId="218005F8" w:rsidR="00CB29B0" w:rsidRDefault="00CB29B0" w:rsidP="00CB29B0">
      <w:pPr>
        <w:pStyle w:val="BodyText"/>
      </w:pPr>
      <w:r>
        <w:t>The uplift adjustment methodology above only accounts for uplift which occurs in the current program year because EE program tracking files in any given program year only capture the new measures installed in that year, regardless of the expected measure life.</w:t>
      </w:r>
      <w:r>
        <w:rPr>
          <w:rStyle w:val="FootnoteReference"/>
        </w:rPr>
        <w:footnoteReference w:id="13"/>
      </w:r>
      <w:r>
        <w:t xml:space="preserve"> However, for other EE programs that include measures with multiyear measure lives, the HER Program savings capture the portion of savings due to uplift in each year of that program’s measure life. For instance, a measure with a 10-year measure life that was installed in 2019 would generate savings captured in the HER Program savings not just in 2019, but in 2020 through 202</w:t>
      </w:r>
      <w:r w:rsidR="00833838">
        <w:t>8</w:t>
      </w:r>
      <w:r>
        <w:t xml:space="preserve"> as well.</w:t>
      </w:r>
    </w:p>
    <w:p w14:paraId="55D852CB" w14:textId="408ED3ED" w:rsidR="00CB29B0" w:rsidRDefault="00CB29B0" w:rsidP="00CB29B0">
      <w:pPr>
        <w:pStyle w:val="BodyText"/>
      </w:pPr>
      <w:r>
        <w:t>Consider the following example. A household receiving home energy reports through the HER Program enrolls in the HES Program in CY2022. The uplift adjustment subtracts HES CY2022 Program savings to avoid double counting. In 2023, this household still receives savings from the HES Program because it has a 13-year measure life. However, the 2023 HER uplift adjustment does not remove these savings because the 2023 adjustment only accounts for measures installed in 2023, the initial year the household entered a program. When only relying on the uplift adjustment, HES second-year savings would be included in the 2023 HER Program’s savings, which is inconsistent with Illinois’ practices of only crediting utilities with first-year EE program savings. Legacy uplift removes double counted energy savings from programs that include measures with multiple-year measure life.</w:t>
      </w:r>
    </w:p>
    <w:p w14:paraId="66ED2BFB" w14:textId="2807C150" w:rsidR="00CB29B0" w:rsidRDefault="00CB29B0" w:rsidP="00CB29B0">
      <w:pPr>
        <w:pStyle w:val="BodyText"/>
      </w:pPr>
      <w:r>
        <w:t>The evaluation team accounts for legacy uplift by subtracting the double counted savings from previous years, adjusted for the average annual move out rate,</w:t>
      </w:r>
      <w:r>
        <w:rPr>
          <w:rStyle w:val="FootnoteReference"/>
        </w:rPr>
        <w:footnoteReference w:id="14"/>
      </w:r>
      <w:r>
        <w:t xml:space="preserve"> from 202</w:t>
      </w:r>
      <w:r w:rsidR="00535B41">
        <w:t xml:space="preserve">3 </w:t>
      </w:r>
      <w:r>
        <w:t xml:space="preserve">HER savings through the measure lives of measures from other EE programs. The legacy uplift adjustment is shown in </w:t>
      </w:r>
      <w:r>
        <w:rPr>
          <w:highlight w:val="yellow"/>
        </w:rPr>
        <w:fldChar w:fldCharType="begin"/>
      </w:r>
      <w:r>
        <w:instrText xml:space="preserve"> REF _Ref132906298 \h </w:instrText>
      </w:r>
      <w:r>
        <w:rPr>
          <w:highlight w:val="yellow"/>
        </w:rPr>
      </w:r>
      <w:r>
        <w:rPr>
          <w:highlight w:val="yellow"/>
        </w:rPr>
        <w:fldChar w:fldCharType="separate"/>
      </w:r>
      <w:r w:rsidR="009428DA">
        <w:t xml:space="preserve">Equation </w:t>
      </w:r>
      <w:r w:rsidR="009428DA">
        <w:rPr>
          <w:noProof/>
        </w:rPr>
        <w:t>A</w:t>
      </w:r>
      <w:r w:rsidR="009428DA">
        <w:noBreakHyphen/>
      </w:r>
      <w:r w:rsidR="009428DA">
        <w:rPr>
          <w:noProof/>
        </w:rPr>
        <w:t>4</w:t>
      </w:r>
      <w:r>
        <w:rPr>
          <w:highlight w:val="yellow"/>
        </w:rPr>
        <w:fldChar w:fldCharType="end"/>
      </w:r>
      <w:r>
        <w:t>.</w:t>
      </w:r>
    </w:p>
    <w:p w14:paraId="33BD2E27" w14:textId="30D1B287" w:rsidR="00CB29B0" w:rsidRDefault="00CB29B0" w:rsidP="00CB29B0">
      <w:pPr>
        <w:pStyle w:val="Caption"/>
      </w:pPr>
      <w:bookmarkStart w:id="51" w:name="_Ref132906298"/>
      <w:bookmarkStart w:id="52" w:name="_Toc137824508"/>
      <w:bookmarkStart w:id="53" w:name="_Toc165318799"/>
      <w:r>
        <w:lastRenderedPageBreak/>
        <w:t xml:space="preserve">Equation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Equati</w:instrText>
      </w:r>
      <w:r w:rsidR="00372B72">
        <w:instrText xml:space="preserve">on \* ARABIC \s 5 </w:instrText>
      </w:r>
      <w:r w:rsidR="00372B72">
        <w:fldChar w:fldCharType="separate"/>
      </w:r>
      <w:r w:rsidR="009428DA">
        <w:rPr>
          <w:noProof/>
        </w:rPr>
        <w:t>4</w:t>
      </w:r>
      <w:r w:rsidR="00372B72">
        <w:rPr>
          <w:noProof/>
        </w:rPr>
        <w:fldChar w:fldCharType="end"/>
      </w:r>
      <w:bookmarkEnd w:id="51"/>
      <w:r>
        <w:t>. Legacy Uplift Calculation</w:t>
      </w:r>
      <w:bookmarkEnd w:id="52"/>
      <w:bookmarkEnd w:id="53"/>
    </w:p>
    <w:p w14:paraId="7BA04C35" w14:textId="77777777" w:rsidR="00CB29B0" w:rsidRDefault="00372B72" w:rsidP="00CB29B0">
      <w:pPr>
        <w:rPr>
          <w:rFonts w:eastAsiaTheme="minorEastAsia" w:cs="Arial"/>
        </w:rPr>
      </w:pPr>
      <m:oMathPara>
        <m:oMath>
          <m:sSubSup>
            <m:sSubSupPr>
              <m:alnScr m:val="1"/>
              <m:ctrlPr>
                <w:rPr>
                  <w:rFonts w:ascii="Cambria Math" w:hAnsi="Cambria Math" w:cs="Arial"/>
                  <w:i/>
                </w:rPr>
              </m:ctrlPr>
            </m:sSubSupPr>
            <m:e>
              <m:r>
                <m:rPr>
                  <m:sty m:val="p"/>
                </m:rPr>
                <w:rPr>
                  <w:rFonts w:ascii="Cambria Math" w:hAnsi="Cambria Math"/>
                </w:rPr>
                <m:t xml:space="preserve">HER </m:t>
              </m:r>
              <m:r>
                <m:rPr>
                  <m:nor/>
                </m:rPr>
                <w:rPr>
                  <w:rFonts w:ascii="Cambria Math" w:hAnsi="Cambria Math" w:cs="Arial"/>
                </w:rPr>
                <m:t>Savings</m:t>
              </m:r>
            </m:e>
            <m:sub>
              <m:r>
                <m:rPr>
                  <m:nor/>
                </m:rPr>
                <w:rPr>
                  <w:rFonts w:ascii="Cambria Math" w:hAnsi="Cambria Math" w:cs="Arial"/>
                </w:rPr>
                <m:t>PY</m:t>
              </m:r>
            </m:sub>
            <m:sup>
              <m:r>
                <m:rPr>
                  <m:nor/>
                </m:rPr>
                <w:rPr>
                  <w:rFonts w:ascii="Cambria Math" w:hAnsi="Cambria Math" w:cs="Arial"/>
                </w:rPr>
                <m:t>Adjusted</m:t>
              </m:r>
            </m:sup>
          </m:sSubSup>
          <m:r>
            <m:rPr>
              <m:nor/>
            </m:rPr>
            <w:rPr>
              <w:rFonts w:ascii="Cambria Math" w:hAnsi="Cambria Math" w:cs="Arial"/>
            </w:rPr>
            <m:t xml:space="preserve"> = </m:t>
          </m:r>
          <m:sSubSup>
            <m:sSubSupPr>
              <m:ctrlPr>
                <w:rPr>
                  <w:rFonts w:ascii="Cambria Math" w:hAnsi="Cambria Math" w:cs="Arial"/>
                  <w:i/>
                </w:rPr>
              </m:ctrlPr>
            </m:sSubSupPr>
            <m:e>
              <m:r>
                <m:rPr>
                  <m:sty m:val="p"/>
                </m:rPr>
                <w:rPr>
                  <w:rFonts w:ascii="Cambria Math" w:hAnsi="Cambria Math"/>
                </w:rPr>
                <m:t xml:space="preserve">HER </m:t>
              </m:r>
              <m:r>
                <m:rPr>
                  <m:nor/>
                </m:rPr>
                <w:rPr>
                  <w:rFonts w:ascii="Cambria Math" w:hAnsi="Cambria Math" w:cs="Arial"/>
                </w:rPr>
                <m:t>Savings</m:t>
              </m:r>
            </m:e>
            <m:sub>
              <m:r>
                <m:rPr>
                  <m:nor/>
                </m:rPr>
                <w:rPr>
                  <w:rFonts w:ascii="Cambria Math" w:hAnsi="Cambria Math" w:cs="Arial"/>
                </w:rPr>
                <m:t>PY</m:t>
              </m:r>
            </m:sub>
            <m:sup>
              <m:r>
                <m:rPr>
                  <m:nor/>
                </m:rPr>
                <w:rPr>
                  <w:rFonts w:ascii="Cambria Math" w:hAnsi="Cambria Math" w:cs="Arial"/>
                </w:rPr>
                <m:t>Unadjusted</m:t>
              </m:r>
            </m:sup>
          </m:sSubSup>
          <m:r>
            <w:rPr>
              <w:rFonts w:ascii="Cambria Math" w:hAnsi="Cambria Math" w:cs="Arial"/>
            </w:rPr>
            <m:t xml:space="preserve"> </m:t>
          </m:r>
          <m:r>
            <m:rPr>
              <m:nor/>
            </m:rPr>
            <w:rPr>
              <w:rFonts w:ascii="Cambria Math" w:hAnsi="Cambria Math" w:cs="Arial"/>
            </w:rPr>
            <m:t xml:space="preserve">- </m:t>
          </m:r>
          <m:sSub>
            <m:sSubPr>
              <m:ctrlPr>
                <w:rPr>
                  <w:rFonts w:ascii="Cambria Math" w:hAnsi="Cambria Math" w:cs="Arial"/>
                  <w:i/>
                </w:rPr>
              </m:ctrlPr>
            </m:sSubPr>
            <m:e>
              <m:r>
                <m:rPr>
                  <m:nor/>
                </m:rPr>
                <w:rPr>
                  <w:rFonts w:ascii="Cambria Math" w:hAnsi="Cambria Math" w:cs="Arial"/>
                </w:rPr>
                <m:t>Uplift Savings</m:t>
              </m:r>
            </m:e>
            <m:sub>
              <m:r>
                <m:rPr>
                  <m:nor/>
                </m:rPr>
                <w:rPr>
                  <w:rFonts w:ascii="Cambria Math" w:hAnsi="Cambria Math" w:cs="Arial"/>
                </w:rPr>
                <m:t>PY</m:t>
              </m:r>
            </m:sub>
          </m:sSub>
          <m:r>
            <w:rPr>
              <w:rFonts w:ascii="Cambria Math" w:hAnsi="Cambria Math" w:cs="Arial"/>
            </w:rPr>
            <m:t xml:space="preserve"> </m:t>
          </m:r>
          <m:r>
            <m:rPr>
              <m:nor/>
            </m:rPr>
            <w:rPr>
              <w:rFonts w:ascii="Cambria Math" w:hAnsi="Cambria Math" w:cs="Arial"/>
            </w:rPr>
            <m:t>-</m:t>
          </m:r>
          <m:nary>
            <m:naryPr>
              <m:chr m:val="∑"/>
              <m:limLoc m:val="undOvr"/>
              <m:ctrlPr>
                <w:rPr>
                  <w:rFonts w:ascii="Cambria Math" w:hAnsi="Cambria Math" w:cs="Arial"/>
                  <w:i/>
                </w:rPr>
              </m:ctrlPr>
            </m:naryPr>
            <m:sub>
              <w:proofErr w:type="spellStart"/>
              <m:r>
                <m:rPr>
                  <m:nor/>
                </m:rPr>
                <w:rPr>
                  <w:rFonts w:ascii="Cambria Math" w:hAnsi="Cambria Math" w:cs="Arial"/>
                </w:rPr>
                <m:t>i</m:t>
              </m:r>
              <w:proofErr w:type="spellEnd"/>
              <m:r>
                <m:rPr>
                  <m:nor/>
                </m:rPr>
                <w:rPr>
                  <w:rFonts w:ascii="Cambria Math" w:hAnsi="Cambria Math" w:cs="Arial"/>
                </w:rPr>
                <m:t>=1</m:t>
              </m:r>
            </m:sub>
            <m:sup>
              <m:r>
                <m:rPr>
                  <m:nor/>
                </m:rPr>
                <w:rPr>
                  <w:rFonts w:ascii="Cambria Math" w:hAnsi="Cambria Math" w:cs="Arial"/>
                </w:rPr>
                <m:t>PY-1</m:t>
              </m:r>
            </m:sup>
            <m:e>
              <m:sSub>
                <m:sSubPr>
                  <m:ctrlPr>
                    <w:rPr>
                      <w:rFonts w:ascii="Cambria Math" w:hAnsi="Cambria Math" w:cs="Arial"/>
                      <w:i/>
                    </w:rPr>
                  </m:ctrlPr>
                </m:sSubPr>
                <m:e>
                  <m:r>
                    <m:rPr>
                      <m:nor/>
                    </m:rPr>
                    <w:rPr>
                      <w:rFonts w:ascii="Cambria Math" w:hAnsi="Cambria Math" w:cs="Arial"/>
                    </w:rPr>
                    <m:t>"Live" Legacy Uplift Savings</m:t>
                  </m:r>
                </m:e>
                <m:sub>
                  <w:proofErr w:type="spellStart"/>
                  <m:r>
                    <m:rPr>
                      <m:nor/>
                    </m:rPr>
                    <w:rPr>
                      <w:rFonts w:ascii="Cambria Math" w:hAnsi="Cambria Math" w:cs="Arial"/>
                    </w:rPr>
                    <m:t>i</m:t>
                  </m:r>
                  <w:proofErr w:type="spellEnd"/>
                  <m:r>
                    <m:rPr>
                      <m:nor/>
                    </m:rPr>
                    <w:rPr>
                      <w:rFonts w:ascii="Cambria Math" w:hAnsi="Cambria Math" w:cs="Arial"/>
                    </w:rPr>
                    <m:t xml:space="preserve"> </m:t>
                  </m:r>
                </m:sub>
              </m:sSub>
              <m:r>
                <m:rPr>
                  <m:nor/>
                </m:rP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r>
                        <m:rPr>
                          <m:nor/>
                        </m:rPr>
                        <w:rPr>
                          <w:rFonts w:ascii="Cambria Math" w:hAnsi="Cambria Math" w:cs="Arial"/>
                        </w:rPr>
                        <m:t>1 - MOR</m:t>
                      </m:r>
                    </m:e>
                  </m:d>
                </m:e>
                <m:sup>
                  <m:r>
                    <m:rPr>
                      <m:nor/>
                    </m:rPr>
                    <w:rPr>
                      <w:rFonts w:ascii="Cambria Math" w:hAnsi="Cambria Math" w:cs="Arial"/>
                    </w:rPr>
                    <m:t xml:space="preserve">PY - </m:t>
                  </m:r>
                  <w:proofErr w:type="spellStart"/>
                  <m:r>
                    <m:rPr>
                      <m:nor/>
                    </m:rPr>
                    <w:rPr>
                      <w:rFonts w:ascii="Cambria Math" w:hAnsi="Cambria Math" w:cs="Arial"/>
                    </w:rPr>
                    <m:t>i</m:t>
                  </m:r>
                  <w:proofErr w:type="spellEnd"/>
                </m:sup>
              </m:sSup>
            </m:e>
          </m:nary>
        </m:oMath>
      </m:oMathPara>
    </w:p>
    <w:p w14:paraId="4F987661" w14:textId="77777777" w:rsidR="00CB29B0" w:rsidRDefault="00CB29B0" w:rsidP="00CB29B0">
      <w:pPr>
        <w:rPr>
          <w:rFonts w:eastAsiaTheme="minorEastAsia" w:cs="Arial"/>
        </w:rPr>
      </w:pPr>
    </w:p>
    <w:p w14:paraId="27023B16" w14:textId="4399E67A" w:rsidR="00CB29B0" w:rsidRDefault="00CB29B0" w:rsidP="00CB29B0">
      <w:pPr>
        <w:pStyle w:val="BodyText"/>
        <w:rPr>
          <w:rFonts w:eastAsiaTheme="minorEastAsia"/>
        </w:rPr>
      </w:pPr>
      <w:r>
        <w:rPr>
          <w:rFonts w:eastAsiaTheme="minorEastAsia"/>
        </w:rPr>
        <w:t xml:space="preserve">Where, “Live” Legacy Uplift Savings refers to uplift savings where the other EE programs’ measure lives have not yet run out (i.e., where measure life exceeds the difference between </w:t>
      </w:r>
      <w:r>
        <w:rPr>
          <w:rFonts w:eastAsiaTheme="minorEastAsia"/>
          <w:i/>
        </w:rPr>
        <w:t>PY</w:t>
      </w:r>
      <w:r>
        <w:rPr>
          <w:rFonts w:eastAsiaTheme="minorEastAsia"/>
        </w:rPr>
        <w:t xml:space="preserve"> and </w:t>
      </w:r>
      <w:proofErr w:type="spellStart"/>
      <w:r>
        <w:rPr>
          <w:rFonts w:eastAsiaTheme="minorEastAsia"/>
          <w:i/>
        </w:rPr>
        <w:t>i</w:t>
      </w:r>
      <w:proofErr w:type="spellEnd"/>
      <w:r>
        <w:rPr>
          <w:rFonts w:eastAsiaTheme="minorEastAsia"/>
        </w:rPr>
        <w:t>) and MOR refers to the move out rate. To streamline the analysis, instead of using individual measure lives in developing legacy uplift savings, and subsequently removing measures one-by-one once the</w:t>
      </w:r>
      <w:r w:rsidR="00AE2294">
        <w:rPr>
          <w:rFonts w:eastAsiaTheme="minorEastAsia"/>
        </w:rPr>
        <w:t>se</w:t>
      </w:r>
      <w:r>
        <w:rPr>
          <w:rFonts w:eastAsiaTheme="minorEastAsia"/>
        </w:rPr>
        <w:t xml:space="preserve"> reach the end of their EULs, the evaluation team calculated EULs at the program level by weighting measure-specific EULs by savings. Once the program reaches its weighted average measure life (WAML), it is removed from the legacy uplift calculation.</w:t>
      </w:r>
    </w:p>
    <w:p w14:paraId="1BA17849" w14:textId="1E8D4117" w:rsidR="00CB29B0" w:rsidRDefault="00CB29B0" w:rsidP="00CB29B0">
      <w:pPr>
        <w:pStyle w:val="BodyText"/>
      </w:pPr>
      <w:r>
        <w:rPr>
          <w:rFonts w:eastAsiaTheme="minorEastAsia"/>
        </w:rPr>
        <w:t xml:space="preserve">The legacy uplift adjustment removes double counted savings from the CY2020 </w:t>
      </w:r>
      <w:r w:rsidR="00535B41">
        <w:rPr>
          <w:rFonts w:eastAsiaTheme="minorEastAsia"/>
        </w:rPr>
        <w:t>to</w:t>
      </w:r>
      <w:r>
        <w:rPr>
          <w:rFonts w:eastAsiaTheme="minorEastAsia"/>
        </w:rPr>
        <w:t xml:space="preserve"> CY202</w:t>
      </w:r>
      <w:r w:rsidR="00535B41">
        <w:rPr>
          <w:rFonts w:eastAsiaTheme="minorEastAsia"/>
        </w:rPr>
        <w:t xml:space="preserve">2 </w:t>
      </w:r>
      <w:r>
        <w:rPr>
          <w:rFonts w:eastAsiaTheme="minorEastAsia"/>
        </w:rPr>
        <w:t>evaluations for the ESK, HEER, HES, MF, and IE programs.</w:t>
      </w:r>
    </w:p>
    <w:p w14:paraId="1C905254" w14:textId="77777777" w:rsidR="00CB29B0" w:rsidRPr="00F6619D" w:rsidRDefault="00CB29B0" w:rsidP="00CB29B0">
      <w:pPr>
        <w:pStyle w:val="Heading7"/>
      </w:pPr>
      <w:bookmarkStart w:id="54" w:name="_Ref64938129"/>
      <w:r w:rsidRPr="00F6619D">
        <w:t>Account</w:t>
      </w:r>
      <w:r>
        <w:t>ing</w:t>
      </w:r>
      <w:r w:rsidRPr="00F6619D">
        <w:t xml:space="preserve"> for Savings Persistence and Participant Retention</w:t>
      </w:r>
      <w:bookmarkEnd w:id="54"/>
    </w:p>
    <w:p w14:paraId="67B310C4" w14:textId="7F196B7C" w:rsidR="00CB29B0" w:rsidRDefault="00CB29B0" w:rsidP="00CB29B0">
      <w:r>
        <w:t>Continued implementation of HER programs in Illinois and across the country has demonstrated persistence of savings beyond the first year, leading Illinois to adopt a measure persistence framework in Version 1</w:t>
      </w:r>
      <w:r w:rsidR="005B3CDB">
        <w:t>1</w:t>
      </w:r>
      <w:r>
        <w:t xml:space="preserve">.0 of the IL-TRM. This framework assumes that savings persist over seven years, but the persistence decays in each year. The IL-TRM recommends using the persistence factors presented in Table A-1 over the seven-year life to estimate lifetime gas savings for the program. </w:t>
      </w:r>
    </w:p>
    <w:p w14:paraId="5B972E81" w14:textId="77777777" w:rsidR="00CB29B0" w:rsidRDefault="00CB29B0" w:rsidP="00CB29B0">
      <w:pPr>
        <w:rPr>
          <w:sz w:val="20"/>
        </w:rPr>
      </w:pPr>
    </w:p>
    <w:p w14:paraId="51DFFC01" w14:textId="23E9B352" w:rsidR="00CB29B0" w:rsidRDefault="00CB29B0" w:rsidP="00CB29B0">
      <w:pPr>
        <w:pStyle w:val="Caption"/>
      </w:pPr>
      <w:bookmarkStart w:id="55" w:name="_Ref74319777"/>
      <w:bookmarkStart w:id="56" w:name="_Toc110421338"/>
      <w:bookmarkStart w:id="57" w:name="_Toc133316580"/>
      <w:bookmarkStart w:id="58" w:name="_Toc137824738"/>
      <w:bookmarkStart w:id="59" w:name="_Toc165318881"/>
      <w:r>
        <w:t xml:space="preserve">Table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sidR="009428DA">
        <w:rPr>
          <w:noProof/>
        </w:rPr>
        <w:t>1</w:t>
      </w:r>
      <w:r w:rsidR="00372B72">
        <w:rPr>
          <w:noProof/>
        </w:rPr>
        <w:fldChar w:fldCharType="end"/>
      </w:r>
      <w:bookmarkEnd w:id="55"/>
      <w:r>
        <w:t>. Gas Savings Persistence Factors</w:t>
      </w:r>
      <w:bookmarkEnd w:id="56"/>
      <w:bookmarkEnd w:id="57"/>
      <w:bookmarkEnd w:id="58"/>
      <w:bookmarkEnd w:id="59"/>
    </w:p>
    <w:tbl>
      <w:tblPr>
        <w:tblStyle w:val="EnergyTable1"/>
        <w:tblW w:w="0" w:type="auto"/>
        <w:tblLook w:val="04A0" w:firstRow="1" w:lastRow="0" w:firstColumn="1" w:lastColumn="0" w:noHBand="0" w:noVBand="1"/>
      </w:tblPr>
      <w:tblGrid>
        <w:gridCol w:w="2321"/>
        <w:gridCol w:w="2269"/>
      </w:tblGrid>
      <w:tr w:rsidR="00CB29B0" w14:paraId="4C4AC22D" w14:textId="77777777" w:rsidTr="00757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18D396D8" w14:textId="77777777" w:rsidR="00CB29B0" w:rsidRDefault="00CB29B0" w:rsidP="00757E7A">
            <w:pPr>
              <w:keepNext/>
              <w:jc w:val="left"/>
              <w:rPr>
                <w:rFonts w:ascii="Arial Narrow" w:hAnsi="Arial Narrow"/>
              </w:rPr>
            </w:pPr>
            <w:r>
              <w:rPr>
                <w:rFonts w:ascii="Arial Narrow" w:hAnsi="Arial Narrow"/>
              </w:rPr>
              <w:t>Year</w:t>
            </w:r>
          </w:p>
        </w:tc>
        <w:tc>
          <w:tcPr>
            <w:tcW w:w="2269" w:type="dxa"/>
            <w:hideMark/>
          </w:tcPr>
          <w:p w14:paraId="084EA634" w14:textId="77777777" w:rsidR="00CB29B0" w:rsidRDefault="00CB29B0" w:rsidP="00757E7A">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Gas Persistence Factor</w:t>
            </w:r>
          </w:p>
        </w:tc>
      </w:tr>
      <w:tr w:rsidR="00CB29B0" w14:paraId="5C3C0DEF" w14:textId="77777777" w:rsidTr="0075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6B081568" w14:textId="77777777" w:rsidR="00CB29B0" w:rsidRDefault="00CB29B0" w:rsidP="00757E7A">
            <w:pPr>
              <w:keepNext/>
              <w:jc w:val="left"/>
              <w:rPr>
                <w:rFonts w:ascii="Arial Narrow" w:hAnsi="Arial Narrow"/>
              </w:rPr>
            </w:pPr>
            <w:r>
              <w:rPr>
                <w:rFonts w:ascii="Arial Narrow" w:hAnsi="Arial Narrow"/>
              </w:rPr>
              <w:t>Year 1</w:t>
            </w:r>
          </w:p>
        </w:tc>
        <w:tc>
          <w:tcPr>
            <w:tcW w:w="2269" w:type="dxa"/>
            <w:hideMark/>
          </w:tcPr>
          <w:p w14:paraId="302A278D" w14:textId="77777777" w:rsidR="00CB29B0" w:rsidRPr="00523430" w:rsidRDefault="00CB29B0" w:rsidP="00757E7A">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23430">
              <w:rPr>
                <w:rFonts w:ascii="Arial Narrow" w:hAnsi="Arial Narrow"/>
              </w:rPr>
              <w:t>100%</w:t>
            </w:r>
          </w:p>
        </w:tc>
      </w:tr>
      <w:tr w:rsidR="00CB29B0" w14:paraId="1A4998A0" w14:textId="77777777" w:rsidTr="00757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06EF6F22" w14:textId="77777777" w:rsidR="00CB29B0" w:rsidRDefault="00CB29B0" w:rsidP="00757E7A">
            <w:pPr>
              <w:keepNext/>
              <w:jc w:val="left"/>
              <w:rPr>
                <w:rFonts w:ascii="Arial Narrow" w:hAnsi="Arial Narrow"/>
              </w:rPr>
            </w:pPr>
            <w:r>
              <w:rPr>
                <w:rFonts w:ascii="Arial Narrow" w:hAnsi="Arial Narrow"/>
              </w:rPr>
              <w:t>Year 2</w:t>
            </w:r>
          </w:p>
        </w:tc>
        <w:tc>
          <w:tcPr>
            <w:tcW w:w="2269" w:type="dxa"/>
            <w:hideMark/>
          </w:tcPr>
          <w:p w14:paraId="2A870EA5" w14:textId="77777777" w:rsidR="00CB29B0" w:rsidRPr="00523430" w:rsidRDefault="00CB29B0" w:rsidP="00757E7A">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23430">
              <w:rPr>
                <w:rFonts w:ascii="Arial Narrow" w:hAnsi="Arial Narrow"/>
              </w:rPr>
              <w:t>70%</w:t>
            </w:r>
          </w:p>
        </w:tc>
      </w:tr>
      <w:tr w:rsidR="00CB29B0" w14:paraId="42D60E13" w14:textId="77777777" w:rsidTr="0075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1470ECF2" w14:textId="77777777" w:rsidR="00CB29B0" w:rsidRDefault="00CB29B0" w:rsidP="00757E7A">
            <w:pPr>
              <w:keepNext/>
              <w:jc w:val="left"/>
              <w:rPr>
                <w:rFonts w:ascii="Arial Narrow" w:hAnsi="Arial Narrow"/>
              </w:rPr>
            </w:pPr>
            <w:r>
              <w:rPr>
                <w:rFonts w:ascii="Arial Narrow" w:hAnsi="Arial Narrow"/>
              </w:rPr>
              <w:t>Year 3</w:t>
            </w:r>
          </w:p>
        </w:tc>
        <w:tc>
          <w:tcPr>
            <w:tcW w:w="2269" w:type="dxa"/>
            <w:hideMark/>
          </w:tcPr>
          <w:p w14:paraId="4B3EC9F1" w14:textId="77777777" w:rsidR="00CB29B0" w:rsidRPr="00523430" w:rsidRDefault="00CB29B0" w:rsidP="00757E7A">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23430">
              <w:rPr>
                <w:rFonts w:ascii="Arial Narrow" w:hAnsi="Arial Narrow"/>
              </w:rPr>
              <w:t>49%</w:t>
            </w:r>
          </w:p>
        </w:tc>
      </w:tr>
      <w:tr w:rsidR="00CB29B0" w14:paraId="124F3969" w14:textId="77777777" w:rsidTr="00757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28E6BB7B" w14:textId="77777777" w:rsidR="00CB29B0" w:rsidRDefault="00CB29B0" w:rsidP="00757E7A">
            <w:pPr>
              <w:keepNext/>
              <w:jc w:val="left"/>
              <w:rPr>
                <w:rFonts w:ascii="Arial Narrow" w:hAnsi="Arial Narrow"/>
              </w:rPr>
            </w:pPr>
            <w:r>
              <w:rPr>
                <w:rFonts w:ascii="Arial Narrow" w:hAnsi="Arial Narrow"/>
              </w:rPr>
              <w:t>Year 4</w:t>
            </w:r>
          </w:p>
        </w:tc>
        <w:tc>
          <w:tcPr>
            <w:tcW w:w="2269" w:type="dxa"/>
            <w:hideMark/>
          </w:tcPr>
          <w:p w14:paraId="36B32996" w14:textId="77777777" w:rsidR="00CB29B0" w:rsidRPr="00523430" w:rsidRDefault="00CB29B0" w:rsidP="00757E7A">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23430">
              <w:rPr>
                <w:rFonts w:ascii="Arial Narrow" w:hAnsi="Arial Narrow"/>
              </w:rPr>
              <w:t>34%</w:t>
            </w:r>
          </w:p>
        </w:tc>
      </w:tr>
      <w:tr w:rsidR="00CB29B0" w14:paraId="56DF1276" w14:textId="77777777" w:rsidTr="0075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hideMark/>
          </w:tcPr>
          <w:p w14:paraId="045A236D" w14:textId="77777777" w:rsidR="00CB29B0" w:rsidRDefault="00CB29B0" w:rsidP="00757E7A">
            <w:pPr>
              <w:keepNext/>
              <w:jc w:val="left"/>
              <w:rPr>
                <w:rFonts w:ascii="Arial Narrow" w:hAnsi="Arial Narrow"/>
              </w:rPr>
            </w:pPr>
            <w:r>
              <w:rPr>
                <w:rFonts w:ascii="Arial Narrow" w:hAnsi="Arial Narrow"/>
              </w:rPr>
              <w:t>Year 5</w:t>
            </w:r>
          </w:p>
        </w:tc>
        <w:tc>
          <w:tcPr>
            <w:tcW w:w="2269" w:type="dxa"/>
            <w:hideMark/>
          </w:tcPr>
          <w:p w14:paraId="110DBB82" w14:textId="77777777" w:rsidR="00CB29B0" w:rsidRPr="00523430" w:rsidRDefault="00CB29B0" w:rsidP="00757E7A">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23430">
              <w:rPr>
                <w:rFonts w:ascii="Arial Narrow" w:hAnsi="Arial Narrow"/>
              </w:rPr>
              <w:t>24%</w:t>
            </w:r>
          </w:p>
        </w:tc>
      </w:tr>
      <w:tr w:rsidR="00CB29B0" w14:paraId="546271B3" w14:textId="77777777" w:rsidTr="00757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46D42776" w14:textId="77777777" w:rsidR="00CB29B0" w:rsidRDefault="00CB29B0" w:rsidP="00757E7A">
            <w:pPr>
              <w:keepNext/>
              <w:jc w:val="left"/>
              <w:rPr>
                <w:rFonts w:ascii="Arial Narrow" w:hAnsi="Arial Narrow"/>
              </w:rPr>
            </w:pPr>
            <w:r>
              <w:rPr>
                <w:rFonts w:ascii="Arial Narrow" w:hAnsi="Arial Narrow"/>
              </w:rPr>
              <w:t>Year 6</w:t>
            </w:r>
          </w:p>
        </w:tc>
        <w:tc>
          <w:tcPr>
            <w:tcW w:w="2269" w:type="dxa"/>
          </w:tcPr>
          <w:p w14:paraId="53FAB79A" w14:textId="77777777" w:rsidR="00CB29B0" w:rsidRPr="00523430" w:rsidRDefault="00CB29B0" w:rsidP="00757E7A">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23430">
              <w:rPr>
                <w:rFonts w:ascii="Arial Narrow" w:hAnsi="Arial Narrow"/>
              </w:rPr>
              <w:t>17%</w:t>
            </w:r>
          </w:p>
        </w:tc>
      </w:tr>
      <w:tr w:rsidR="00CB29B0" w14:paraId="301A97A8" w14:textId="77777777" w:rsidTr="0075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5FB0C94D" w14:textId="77777777" w:rsidR="00CB29B0" w:rsidRDefault="00CB29B0" w:rsidP="00757E7A">
            <w:pPr>
              <w:keepNext/>
              <w:jc w:val="left"/>
              <w:rPr>
                <w:rFonts w:ascii="Arial Narrow" w:hAnsi="Arial Narrow"/>
              </w:rPr>
            </w:pPr>
            <w:r>
              <w:rPr>
                <w:rFonts w:ascii="Arial Narrow" w:hAnsi="Arial Narrow"/>
              </w:rPr>
              <w:t>Year 7</w:t>
            </w:r>
          </w:p>
        </w:tc>
        <w:tc>
          <w:tcPr>
            <w:tcW w:w="2269" w:type="dxa"/>
          </w:tcPr>
          <w:p w14:paraId="1C2770AF" w14:textId="77777777" w:rsidR="00CB29B0" w:rsidRPr="00523430" w:rsidRDefault="00CB29B0" w:rsidP="00757E7A">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23430">
              <w:rPr>
                <w:rFonts w:ascii="Arial Narrow" w:hAnsi="Arial Narrow"/>
              </w:rPr>
              <w:t>12%</w:t>
            </w:r>
          </w:p>
        </w:tc>
      </w:tr>
    </w:tbl>
    <w:p w14:paraId="0738D6B6" w14:textId="1E95432B" w:rsidR="00CB29B0" w:rsidRPr="00BD36AC" w:rsidRDefault="00CB29B0" w:rsidP="00CB29B0">
      <w:pPr>
        <w:pStyle w:val="Source"/>
        <w:keepNext/>
        <w:ind w:left="2160" w:right="2340"/>
        <w:rPr>
          <w:sz w:val="18"/>
          <w:szCs w:val="18"/>
        </w:rPr>
      </w:pPr>
      <w:r w:rsidRPr="00BD36AC">
        <w:rPr>
          <w:sz w:val="18"/>
          <w:szCs w:val="18"/>
        </w:rPr>
        <w:t xml:space="preserve">     Source: IL-TRM, Measure 6.1.1, Volume 4, Version</w:t>
      </w:r>
      <w:r>
        <w:rPr>
          <w:sz w:val="18"/>
          <w:szCs w:val="18"/>
        </w:rPr>
        <w:t xml:space="preserve"> 1</w:t>
      </w:r>
      <w:r w:rsidR="005B3CDB">
        <w:rPr>
          <w:sz w:val="18"/>
          <w:szCs w:val="18"/>
        </w:rPr>
        <w:t>1</w:t>
      </w:r>
      <w:r w:rsidRPr="00BD36AC">
        <w:rPr>
          <w:sz w:val="18"/>
          <w:szCs w:val="18"/>
        </w:rPr>
        <w:t>.0.</w:t>
      </w:r>
    </w:p>
    <w:p w14:paraId="2A91ACF4" w14:textId="77777777" w:rsidR="00CB29B0" w:rsidRDefault="00CB29B0" w:rsidP="00CB29B0"/>
    <w:p w14:paraId="31A4E642" w14:textId="52741995" w:rsidR="00CB29B0" w:rsidRDefault="00CB29B0" w:rsidP="00CB29B0">
      <w:r>
        <w:t>The persistence factors above apply for the forward-looking cost-effectiveness calculations. However, in removing persistence from prior years</w:t>
      </w:r>
      <w:r w:rsidR="0033630D">
        <w:t>,</w:t>
      </w:r>
      <w:r>
        <w:t xml:space="preserve"> Guidehouse used the persistence factors in effect from those years per IL-TRM v11.0:</w:t>
      </w:r>
    </w:p>
    <w:p w14:paraId="1E222EBF" w14:textId="77777777" w:rsidR="00CB29B0" w:rsidRDefault="00CB29B0" w:rsidP="00CB29B0"/>
    <w:p w14:paraId="206814C7" w14:textId="77777777" w:rsidR="00CB29B0" w:rsidRPr="0004654E" w:rsidRDefault="00CB29B0" w:rsidP="00CB29B0">
      <w:pPr>
        <w:spacing w:after="240"/>
        <w:ind w:left="720"/>
      </w:pPr>
      <w:r w:rsidRPr="0036738B">
        <w:t>…when persistence factors are changed, the evaluation will utilize the persistence factors that were used to calculate claimed savings in previous years to subtract persistence savings from those years. For example, persistence factors changed between CY2021 and 2022; in CY2021 the earlier persistence factors (based on a 5-</w:t>
      </w:r>
      <w:r w:rsidRPr="0036738B">
        <w:lastRenderedPageBreak/>
        <w:t>year measure life) were used to claim savings from CY2021-CY2025, therefore in 2022-CY2025 persisting savings from CY2021 should be subtracted based on those same persistence factors.</w:t>
      </w:r>
      <w:r>
        <w:t xml:space="preserve"> </w:t>
      </w:r>
    </w:p>
    <w:p w14:paraId="53F1E365" w14:textId="542267BA" w:rsidR="00CB29B0" w:rsidRDefault="00CB29B0" w:rsidP="00F33709">
      <w:r w:rsidRPr="00BF039A">
        <w:t>In 202</w:t>
      </w:r>
      <w:r w:rsidR="007E64CF" w:rsidRPr="00BF039A">
        <w:t>3</w:t>
      </w:r>
      <w:r w:rsidRPr="00BF039A">
        <w:t xml:space="preserve">, Wave 1 is in year </w:t>
      </w:r>
      <w:r w:rsidR="007E64CF" w:rsidRPr="00BF039A">
        <w:t xml:space="preserve">5, Wave 2 is in year 4, and </w:t>
      </w:r>
      <w:r w:rsidRPr="00BF039A">
        <w:t xml:space="preserve">Wave 3 is in year </w:t>
      </w:r>
      <w:r w:rsidR="007E64CF" w:rsidRPr="00BF039A">
        <w:t>4</w:t>
      </w:r>
      <w:r w:rsidRPr="00BF039A">
        <w:t xml:space="preserve">. Using the applicable persistence, Guidehouse used persistence factors of </w:t>
      </w:r>
      <w:r w:rsidR="007E64CF" w:rsidRPr="00BF039A">
        <w:t>70</w:t>
      </w:r>
      <w:r w:rsidRPr="00BF039A">
        <w:t>% for savings from 202</w:t>
      </w:r>
      <w:r w:rsidR="007E64CF" w:rsidRPr="00BF039A">
        <w:t>2</w:t>
      </w:r>
      <w:r w:rsidRPr="00BF039A">
        <w:t>, 20% for savings from 202</w:t>
      </w:r>
      <w:r w:rsidR="007E64CF" w:rsidRPr="00BF039A">
        <w:t>1</w:t>
      </w:r>
      <w:r w:rsidRPr="00BF039A">
        <w:t>, 9% for savings from 20</w:t>
      </w:r>
      <w:r w:rsidR="007E64CF" w:rsidRPr="00BF039A">
        <w:t>20, and 4% for savings from 2019</w:t>
      </w:r>
      <w:r w:rsidRPr="00BF039A">
        <w:t>.</w:t>
      </w:r>
      <w:r w:rsidR="00F33709">
        <w:rPr>
          <w:rStyle w:val="FootnoteReference"/>
        </w:rPr>
        <w:footnoteReference w:id="15"/>
      </w:r>
      <w:r w:rsidR="00F33709">
        <w:rPr>
          <w:rFonts w:ascii="Times New Roman" w:hAnsi="Times New Roman"/>
          <w:sz w:val="24"/>
          <w:szCs w:val="24"/>
        </w:rPr>
        <w:t xml:space="preserve"> </w:t>
      </w:r>
      <w:r w:rsidR="00F33709">
        <w:t>Per the TRM, the adjustment for persistence also accounts for the program retention rate using a wave-specific prospective retention rate based on the age of the wave. In CY2023, Guidehouse applied a 95% retention rate to all waves.</w:t>
      </w:r>
      <w:r w:rsidR="00F33709">
        <w:rPr>
          <w:rStyle w:val="FootnoteReference"/>
        </w:rPr>
        <w:footnoteReference w:id="16"/>
      </w:r>
      <w:r w:rsidR="00F33709">
        <w:t xml:space="preserve"> </w:t>
      </w:r>
    </w:p>
    <w:p w14:paraId="01AD7003" w14:textId="77777777" w:rsidR="00CB29B0" w:rsidRDefault="00CB29B0" w:rsidP="00CB29B0"/>
    <w:p w14:paraId="75AEE027" w14:textId="3EAC2B4F" w:rsidR="00CB29B0" w:rsidRDefault="00CB29B0" w:rsidP="00CB29B0">
      <w:r>
        <w:t xml:space="preserve">Table A-2 provides a breakdown of the persistence factors and savings attributed to prior years for </w:t>
      </w:r>
      <w:r w:rsidR="002E2F4E">
        <w:t xml:space="preserve">all </w:t>
      </w:r>
      <w:r>
        <w:t xml:space="preserve">waves. </w:t>
      </w:r>
      <w:r w:rsidR="002E2F4E">
        <w:rPr>
          <w:rStyle w:val="ui-provider"/>
        </w:rPr>
        <w:t>Note that savings for Wave 3 were not statistically significant</w:t>
      </w:r>
      <w:r w:rsidR="009425FE">
        <w:rPr>
          <w:rStyle w:val="ui-provider"/>
        </w:rPr>
        <w:t>,</w:t>
      </w:r>
      <w:r w:rsidR="002E2F4E">
        <w:rPr>
          <w:rStyle w:val="ui-provider"/>
        </w:rPr>
        <w:t xml:space="preserve"> resulting in no claimable CY2023 savings and thus no persistence adjustment; numbers shown in </w:t>
      </w:r>
      <w:r w:rsidR="00A366BD">
        <w:t>Table A-2</w:t>
      </w:r>
      <w:r w:rsidR="002E2F4E">
        <w:rPr>
          <w:rStyle w:val="ui-provider"/>
        </w:rPr>
        <w:t xml:space="preserve"> show </w:t>
      </w:r>
      <w:proofErr w:type="spellStart"/>
      <w:r w:rsidR="002E2F4E">
        <w:rPr>
          <w:rStyle w:val="ui-provider"/>
        </w:rPr>
        <w:t>Guidehouse’s</w:t>
      </w:r>
      <w:proofErr w:type="spellEnd"/>
      <w:r w:rsidR="002E2F4E">
        <w:rPr>
          <w:rStyle w:val="ui-provider"/>
        </w:rPr>
        <w:t xml:space="preserve"> persistence calculation for reference even though it is not feeding into claimed savings. </w:t>
      </w:r>
      <w:r>
        <w:t>The total persistence adjustment (Section E) is calculated as the sum all savings attributed to prior years (Section D) (i.e., D1+D2+D3</w:t>
      </w:r>
      <w:r w:rsidR="00CF0249">
        <w:t>+D4</w:t>
      </w:r>
      <w:r>
        <w:t>=E). Each row of section D is calculated by multiplying the corresponding rows of Section A (actual savings), Section B (persistence adjustment factors) and Section C (retention rates) (e.g., A1*B1*C1=D1).</w:t>
      </w:r>
    </w:p>
    <w:p w14:paraId="5EE81ACD" w14:textId="77777777" w:rsidR="00CB29B0" w:rsidRDefault="00CB29B0" w:rsidP="00CB29B0"/>
    <w:p w14:paraId="0959268F" w14:textId="43321517" w:rsidR="00CB29B0" w:rsidRDefault="00CB29B0" w:rsidP="00CB29B0">
      <w:pPr>
        <w:pStyle w:val="Caption"/>
      </w:pPr>
      <w:bookmarkStart w:id="60" w:name="_Toc137824739"/>
      <w:bookmarkStart w:id="61" w:name="_Toc165318882"/>
      <w:r>
        <w:lastRenderedPageBreak/>
        <w:t xml:space="preserve">Table </w:t>
      </w:r>
      <w:r w:rsidR="00372B72">
        <w:fldChar w:fldCharType="begin"/>
      </w:r>
      <w:r w:rsidR="00372B72">
        <w:instrText xml:space="preserve"> STYLEREF 5 \s </w:instrText>
      </w:r>
      <w:r w:rsidR="00372B72">
        <w:fldChar w:fldCharType="separate"/>
      </w:r>
      <w:r w:rsidR="009428DA">
        <w:rPr>
          <w:noProof/>
        </w:rPr>
        <w:t>A</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sidR="009428DA">
        <w:rPr>
          <w:noProof/>
        </w:rPr>
        <w:t>2</w:t>
      </w:r>
      <w:r w:rsidR="00372B72">
        <w:rPr>
          <w:noProof/>
        </w:rPr>
        <w:fldChar w:fldCharType="end"/>
      </w:r>
      <w:r>
        <w:rPr>
          <w:noProof/>
        </w:rPr>
        <w:t xml:space="preserve">. </w:t>
      </w:r>
      <w:r w:rsidR="004E0B90">
        <w:rPr>
          <w:noProof/>
        </w:rPr>
        <w:t xml:space="preserve">2023 </w:t>
      </w:r>
      <w:r w:rsidR="003D6684">
        <w:rPr>
          <w:noProof/>
        </w:rPr>
        <w:t xml:space="preserve">Program </w:t>
      </w:r>
      <w:r>
        <w:rPr>
          <w:noProof/>
        </w:rPr>
        <w:t>Persistence Summary</w:t>
      </w:r>
      <w:bookmarkEnd w:id="60"/>
      <w:bookmarkEnd w:id="61"/>
    </w:p>
    <w:tbl>
      <w:tblPr>
        <w:tblStyle w:val="EnergyTable1"/>
        <w:tblW w:w="0" w:type="auto"/>
        <w:tblLook w:val="04A0" w:firstRow="1" w:lastRow="0" w:firstColumn="1" w:lastColumn="0" w:noHBand="0" w:noVBand="1"/>
      </w:tblPr>
      <w:tblGrid>
        <w:gridCol w:w="868"/>
        <w:gridCol w:w="597"/>
        <w:gridCol w:w="3215"/>
        <w:gridCol w:w="1657"/>
        <w:gridCol w:w="1478"/>
        <w:gridCol w:w="1545"/>
      </w:tblGrid>
      <w:tr w:rsidR="00CF0249" w:rsidRPr="00F91DA8" w14:paraId="1EA07AA6" w14:textId="77777777" w:rsidTr="00CF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Pr>
          <w:p w14:paraId="3C28E7A2" w14:textId="77777777" w:rsidR="00CF0249" w:rsidRPr="00804AB6" w:rsidRDefault="00CF0249" w:rsidP="00757E7A">
            <w:pPr>
              <w:keepNext/>
              <w:jc w:val="left"/>
              <w:rPr>
                <w:rFonts w:ascii="Arial Narrow" w:hAnsi="Arial Narrow"/>
                <w:szCs w:val="22"/>
              </w:rPr>
            </w:pPr>
            <w:r w:rsidRPr="00804AB6">
              <w:rPr>
                <w:rFonts w:ascii="Arial Narrow" w:hAnsi="Arial Narrow"/>
                <w:szCs w:val="22"/>
              </w:rPr>
              <w:t>Section</w:t>
            </w:r>
          </w:p>
        </w:tc>
        <w:tc>
          <w:tcPr>
            <w:tcW w:w="597" w:type="dxa"/>
          </w:tcPr>
          <w:p w14:paraId="084B07B9" w14:textId="77777777" w:rsidR="00CF0249" w:rsidRPr="00804AB6" w:rsidRDefault="00CF0249" w:rsidP="00757E7A">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804AB6">
              <w:rPr>
                <w:rFonts w:ascii="Arial Narrow" w:hAnsi="Arial Narrow"/>
                <w:szCs w:val="22"/>
              </w:rPr>
              <w:t>Row</w:t>
            </w:r>
          </w:p>
        </w:tc>
        <w:tc>
          <w:tcPr>
            <w:tcW w:w="3215" w:type="dxa"/>
            <w:vAlign w:val="bottom"/>
          </w:tcPr>
          <w:p w14:paraId="4173FDD4" w14:textId="77777777" w:rsidR="00CF0249" w:rsidRPr="00804AB6" w:rsidRDefault="00CF0249" w:rsidP="00757E7A">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804AB6">
              <w:rPr>
                <w:rFonts w:ascii="Arial Narrow" w:hAnsi="Arial Narrow"/>
                <w:szCs w:val="22"/>
              </w:rPr>
              <w:t>Value</w:t>
            </w:r>
          </w:p>
        </w:tc>
        <w:tc>
          <w:tcPr>
            <w:tcW w:w="1657" w:type="dxa"/>
            <w:vAlign w:val="bottom"/>
            <w:hideMark/>
          </w:tcPr>
          <w:p w14:paraId="19DD7BA5" w14:textId="77777777" w:rsidR="00CF0249" w:rsidRPr="00523430" w:rsidRDefault="00CF0249" w:rsidP="00757E7A">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2"/>
                <w:highlight w:val="yellow"/>
              </w:rPr>
            </w:pPr>
            <w:r w:rsidRPr="00F91DA8">
              <w:rPr>
                <w:rFonts w:ascii="Arial Narrow" w:hAnsi="Arial Narrow" w:cs="Calibri"/>
                <w:szCs w:val="22"/>
              </w:rPr>
              <w:t>Wave 1</w:t>
            </w:r>
          </w:p>
        </w:tc>
        <w:tc>
          <w:tcPr>
            <w:tcW w:w="1478" w:type="dxa"/>
          </w:tcPr>
          <w:p w14:paraId="1E6222A5" w14:textId="221BF1FB" w:rsidR="00CF0249" w:rsidRPr="00523430" w:rsidRDefault="00CF0249" w:rsidP="00757E7A">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szCs w:val="22"/>
                <w:highlight w:val="yellow"/>
              </w:rPr>
            </w:pPr>
            <w:r w:rsidRPr="002E2F4E">
              <w:rPr>
                <w:rFonts w:ascii="Arial Narrow" w:hAnsi="Arial Narrow" w:cs="Calibri"/>
                <w:szCs w:val="22"/>
              </w:rPr>
              <w:t>Wave 2</w:t>
            </w:r>
          </w:p>
        </w:tc>
        <w:tc>
          <w:tcPr>
            <w:tcW w:w="1545" w:type="dxa"/>
            <w:vAlign w:val="bottom"/>
            <w:hideMark/>
          </w:tcPr>
          <w:p w14:paraId="60DD234F" w14:textId="0C972B3B" w:rsidR="00CF0249" w:rsidRPr="00F91DA8" w:rsidRDefault="00CF0249" w:rsidP="00757E7A">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F91DA8">
              <w:rPr>
                <w:rFonts w:ascii="Arial Narrow" w:hAnsi="Arial Narrow" w:cs="Calibri"/>
                <w:szCs w:val="22"/>
              </w:rPr>
              <w:t>Wave 3</w:t>
            </w:r>
          </w:p>
        </w:tc>
      </w:tr>
      <w:tr w:rsidR="00535B41" w:rsidRPr="00804AB6" w14:paraId="59FAAC2F"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val="restart"/>
          </w:tcPr>
          <w:p w14:paraId="0D8DE9D4" w14:textId="77777777" w:rsidR="00535B41" w:rsidRPr="00F33709" w:rsidRDefault="00535B41" w:rsidP="00535B41">
            <w:pPr>
              <w:keepNext/>
              <w:jc w:val="left"/>
              <w:rPr>
                <w:rFonts w:ascii="Arial Narrow" w:hAnsi="Arial Narrow" w:cs="Calibri"/>
                <w:color w:val="000000"/>
                <w:szCs w:val="22"/>
              </w:rPr>
            </w:pPr>
            <w:r w:rsidRPr="00F33709">
              <w:rPr>
                <w:rFonts w:ascii="Arial Narrow" w:hAnsi="Arial Narrow" w:cs="Calibri"/>
                <w:color w:val="000000"/>
                <w:szCs w:val="22"/>
              </w:rPr>
              <w:t>A</w:t>
            </w:r>
          </w:p>
        </w:tc>
        <w:tc>
          <w:tcPr>
            <w:tcW w:w="597" w:type="dxa"/>
          </w:tcPr>
          <w:p w14:paraId="18503459"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w:t>
            </w:r>
          </w:p>
        </w:tc>
        <w:tc>
          <w:tcPr>
            <w:tcW w:w="3215" w:type="dxa"/>
            <w:vAlign w:val="bottom"/>
          </w:tcPr>
          <w:p w14:paraId="57F4F500"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Actual Savings CY2019</w:t>
            </w:r>
          </w:p>
        </w:tc>
        <w:tc>
          <w:tcPr>
            <w:tcW w:w="1657" w:type="dxa"/>
            <w:hideMark/>
          </w:tcPr>
          <w:p w14:paraId="6B67E374" w14:textId="4BE32F9D"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50,314 </w:t>
            </w:r>
          </w:p>
        </w:tc>
        <w:tc>
          <w:tcPr>
            <w:tcW w:w="1478" w:type="dxa"/>
          </w:tcPr>
          <w:p w14:paraId="33015A6C" w14:textId="16765B10"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c>
          <w:tcPr>
            <w:tcW w:w="1545" w:type="dxa"/>
            <w:hideMark/>
          </w:tcPr>
          <w:p w14:paraId="0B8DCCE9" w14:textId="5ECD21E1"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r>
      <w:tr w:rsidR="00535B41" w:rsidRPr="00804AB6" w14:paraId="7BEE5B93"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00AC60FE" w14:textId="77777777" w:rsidR="00535B41" w:rsidRPr="00F33709" w:rsidRDefault="00535B41" w:rsidP="00535B41">
            <w:pPr>
              <w:keepNext/>
              <w:jc w:val="left"/>
              <w:rPr>
                <w:rFonts w:ascii="Arial Narrow" w:hAnsi="Arial Narrow" w:cs="Calibri"/>
                <w:color w:val="000000"/>
                <w:szCs w:val="22"/>
              </w:rPr>
            </w:pPr>
          </w:p>
        </w:tc>
        <w:tc>
          <w:tcPr>
            <w:tcW w:w="597" w:type="dxa"/>
          </w:tcPr>
          <w:p w14:paraId="7011A28C"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2</w:t>
            </w:r>
          </w:p>
        </w:tc>
        <w:tc>
          <w:tcPr>
            <w:tcW w:w="3215" w:type="dxa"/>
            <w:vAlign w:val="bottom"/>
          </w:tcPr>
          <w:p w14:paraId="6F95D07D"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cs="Calibri"/>
                <w:color w:val="000000"/>
                <w:szCs w:val="22"/>
              </w:rPr>
              <w:t>Actual Savings CY2020</w:t>
            </w:r>
          </w:p>
        </w:tc>
        <w:tc>
          <w:tcPr>
            <w:tcW w:w="1657" w:type="dxa"/>
            <w:hideMark/>
          </w:tcPr>
          <w:p w14:paraId="616C4BE9" w14:textId="66D3792C"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1,164,645 </w:t>
            </w:r>
          </w:p>
        </w:tc>
        <w:tc>
          <w:tcPr>
            <w:tcW w:w="1478" w:type="dxa"/>
          </w:tcPr>
          <w:p w14:paraId="7403AA20" w14:textId="59DC864B"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1,445 </w:t>
            </w:r>
          </w:p>
        </w:tc>
        <w:tc>
          <w:tcPr>
            <w:tcW w:w="1545" w:type="dxa"/>
            <w:hideMark/>
          </w:tcPr>
          <w:p w14:paraId="12A91745" w14:textId="5DBDC99E"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39,272 </w:t>
            </w:r>
          </w:p>
        </w:tc>
      </w:tr>
      <w:tr w:rsidR="00535B41" w:rsidRPr="00804AB6" w14:paraId="511CEFB7"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023C085F" w14:textId="77777777" w:rsidR="00535B41" w:rsidRPr="00F33709" w:rsidRDefault="00535B41" w:rsidP="00535B41">
            <w:pPr>
              <w:keepNext/>
              <w:jc w:val="left"/>
              <w:rPr>
                <w:rFonts w:ascii="Arial Narrow" w:hAnsi="Arial Narrow" w:cs="Calibri"/>
                <w:color w:val="000000"/>
                <w:szCs w:val="22"/>
              </w:rPr>
            </w:pPr>
          </w:p>
        </w:tc>
        <w:tc>
          <w:tcPr>
            <w:tcW w:w="597" w:type="dxa"/>
          </w:tcPr>
          <w:p w14:paraId="5419E2A0"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3</w:t>
            </w:r>
          </w:p>
        </w:tc>
        <w:tc>
          <w:tcPr>
            <w:tcW w:w="3215" w:type="dxa"/>
            <w:vAlign w:val="bottom"/>
          </w:tcPr>
          <w:p w14:paraId="00180439"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Actual Savings CY2021</w:t>
            </w:r>
          </w:p>
        </w:tc>
        <w:tc>
          <w:tcPr>
            <w:tcW w:w="1657" w:type="dxa"/>
            <w:hideMark/>
          </w:tcPr>
          <w:p w14:paraId="3466BEFF" w14:textId="16675CD0"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682,376 </w:t>
            </w:r>
          </w:p>
        </w:tc>
        <w:tc>
          <w:tcPr>
            <w:tcW w:w="1478" w:type="dxa"/>
          </w:tcPr>
          <w:p w14:paraId="34A6A118" w14:textId="166048F1"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408,418 </w:t>
            </w:r>
          </w:p>
        </w:tc>
        <w:tc>
          <w:tcPr>
            <w:tcW w:w="1545" w:type="dxa"/>
            <w:hideMark/>
          </w:tcPr>
          <w:p w14:paraId="64BA10A1" w14:textId="1D9844CA"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154,813 </w:t>
            </w:r>
          </w:p>
        </w:tc>
      </w:tr>
      <w:tr w:rsidR="00535B41" w:rsidRPr="00804AB6" w14:paraId="4DA4ED42"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2E62E255" w14:textId="77777777" w:rsidR="00535B41" w:rsidRPr="00F33709" w:rsidRDefault="00535B41" w:rsidP="00535B41">
            <w:pPr>
              <w:keepNext/>
              <w:rPr>
                <w:rFonts w:ascii="Arial Narrow" w:hAnsi="Arial Narrow" w:cs="Calibri"/>
                <w:color w:val="000000"/>
                <w:szCs w:val="22"/>
              </w:rPr>
            </w:pPr>
          </w:p>
        </w:tc>
        <w:tc>
          <w:tcPr>
            <w:tcW w:w="597" w:type="dxa"/>
          </w:tcPr>
          <w:p w14:paraId="22919991" w14:textId="4892DAC9"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4</w:t>
            </w:r>
          </w:p>
        </w:tc>
        <w:tc>
          <w:tcPr>
            <w:tcW w:w="3215" w:type="dxa"/>
            <w:vAlign w:val="bottom"/>
          </w:tcPr>
          <w:p w14:paraId="46BD1C7A" w14:textId="6948DF83"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Actual Savings CY2022</w:t>
            </w:r>
          </w:p>
        </w:tc>
        <w:tc>
          <w:tcPr>
            <w:tcW w:w="1657" w:type="dxa"/>
          </w:tcPr>
          <w:p w14:paraId="5FFA5520" w14:textId="7593BD1D"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501,563 </w:t>
            </w:r>
          </w:p>
        </w:tc>
        <w:tc>
          <w:tcPr>
            <w:tcW w:w="1478" w:type="dxa"/>
          </w:tcPr>
          <w:p w14:paraId="21A0A08B" w14:textId="22E2FC2A"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w:t>
            </w:r>
          </w:p>
        </w:tc>
        <w:tc>
          <w:tcPr>
            <w:tcW w:w="1545" w:type="dxa"/>
          </w:tcPr>
          <w:p w14:paraId="2A3BA7E6" w14:textId="3FCB0988"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259,470 </w:t>
            </w:r>
          </w:p>
        </w:tc>
      </w:tr>
      <w:tr w:rsidR="00535B41" w:rsidRPr="00804AB6" w14:paraId="731D9785"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val="restart"/>
          </w:tcPr>
          <w:p w14:paraId="5E2529A7" w14:textId="77777777" w:rsidR="00535B41" w:rsidRPr="00F33709" w:rsidRDefault="00535B41" w:rsidP="00535B41">
            <w:pPr>
              <w:keepNext/>
              <w:jc w:val="left"/>
              <w:rPr>
                <w:rFonts w:ascii="Arial Narrow" w:hAnsi="Arial Narrow" w:cs="Calibri"/>
                <w:color w:val="000000"/>
                <w:szCs w:val="22"/>
              </w:rPr>
            </w:pPr>
            <w:r w:rsidRPr="00F33709">
              <w:rPr>
                <w:rFonts w:ascii="Arial Narrow" w:hAnsi="Arial Narrow" w:cs="Calibri"/>
                <w:color w:val="000000"/>
                <w:szCs w:val="22"/>
              </w:rPr>
              <w:t>B</w:t>
            </w:r>
          </w:p>
        </w:tc>
        <w:tc>
          <w:tcPr>
            <w:tcW w:w="597" w:type="dxa"/>
          </w:tcPr>
          <w:p w14:paraId="52BBD444"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w:t>
            </w:r>
          </w:p>
        </w:tc>
        <w:tc>
          <w:tcPr>
            <w:tcW w:w="3215" w:type="dxa"/>
            <w:vAlign w:val="bottom"/>
          </w:tcPr>
          <w:p w14:paraId="0ACB246D" w14:textId="430C7EDD"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4-Year Persistence Adjustment Factor</w:t>
            </w:r>
          </w:p>
        </w:tc>
        <w:tc>
          <w:tcPr>
            <w:tcW w:w="1657" w:type="dxa"/>
            <w:hideMark/>
          </w:tcPr>
          <w:p w14:paraId="2E411668" w14:textId="162257C5"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0.04 </w:t>
            </w:r>
          </w:p>
        </w:tc>
        <w:tc>
          <w:tcPr>
            <w:tcW w:w="1478" w:type="dxa"/>
          </w:tcPr>
          <w:p w14:paraId="59380F76" w14:textId="3E8DEB6C"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0.04 </w:t>
            </w:r>
          </w:p>
        </w:tc>
        <w:tc>
          <w:tcPr>
            <w:tcW w:w="1545" w:type="dxa"/>
            <w:hideMark/>
          </w:tcPr>
          <w:p w14:paraId="12055F16" w14:textId="79C23665"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0.04 </w:t>
            </w:r>
          </w:p>
        </w:tc>
      </w:tr>
      <w:tr w:rsidR="00535B41" w:rsidRPr="00804AB6" w14:paraId="6C78E8AE"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514AC2ED" w14:textId="77777777" w:rsidR="00535B41" w:rsidRPr="00F33709" w:rsidRDefault="00535B41" w:rsidP="00535B41">
            <w:pPr>
              <w:keepNext/>
              <w:jc w:val="left"/>
              <w:rPr>
                <w:rFonts w:ascii="Arial Narrow" w:hAnsi="Arial Narrow" w:cs="Calibri"/>
                <w:color w:val="000000"/>
                <w:szCs w:val="22"/>
              </w:rPr>
            </w:pPr>
          </w:p>
        </w:tc>
        <w:tc>
          <w:tcPr>
            <w:tcW w:w="597" w:type="dxa"/>
          </w:tcPr>
          <w:p w14:paraId="3C24D072"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2</w:t>
            </w:r>
          </w:p>
        </w:tc>
        <w:tc>
          <w:tcPr>
            <w:tcW w:w="3215" w:type="dxa"/>
            <w:vAlign w:val="bottom"/>
          </w:tcPr>
          <w:p w14:paraId="6B5D70CA" w14:textId="4114CA9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cs="Calibri"/>
                <w:color w:val="000000"/>
                <w:szCs w:val="22"/>
              </w:rPr>
              <w:t>3-Year Persistence Adjustment Factor</w:t>
            </w:r>
          </w:p>
        </w:tc>
        <w:tc>
          <w:tcPr>
            <w:tcW w:w="1657" w:type="dxa"/>
            <w:hideMark/>
          </w:tcPr>
          <w:p w14:paraId="7ABCEB3E" w14:textId="655553CE"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0.09 </w:t>
            </w:r>
          </w:p>
        </w:tc>
        <w:tc>
          <w:tcPr>
            <w:tcW w:w="1478" w:type="dxa"/>
          </w:tcPr>
          <w:p w14:paraId="1E35A40D" w14:textId="157CE200"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0.09 </w:t>
            </w:r>
          </w:p>
        </w:tc>
        <w:tc>
          <w:tcPr>
            <w:tcW w:w="1545" w:type="dxa"/>
            <w:hideMark/>
          </w:tcPr>
          <w:p w14:paraId="3C999F16" w14:textId="039CB752"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0.09 </w:t>
            </w:r>
          </w:p>
        </w:tc>
      </w:tr>
      <w:tr w:rsidR="00535B41" w:rsidRPr="00804AB6" w14:paraId="409AA4F1"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7583454E" w14:textId="77777777" w:rsidR="00535B41" w:rsidRPr="00F33709" w:rsidRDefault="00535B41" w:rsidP="00535B41">
            <w:pPr>
              <w:keepNext/>
              <w:jc w:val="left"/>
              <w:rPr>
                <w:rFonts w:ascii="Arial Narrow" w:hAnsi="Arial Narrow" w:cs="Calibri"/>
                <w:color w:val="000000"/>
                <w:szCs w:val="22"/>
              </w:rPr>
            </w:pPr>
          </w:p>
        </w:tc>
        <w:tc>
          <w:tcPr>
            <w:tcW w:w="597" w:type="dxa"/>
          </w:tcPr>
          <w:p w14:paraId="4806C955"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3</w:t>
            </w:r>
          </w:p>
        </w:tc>
        <w:tc>
          <w:tcPr>
            <w:tcW w:w="3215" w:type="dxa"/>
            <w:vAlign w:val="bottom"/>
          </w:tcPr>
          <w:p w14:paraId="47668F6E" w14:textId="114E1C0C"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2-Year Persistence Adjustment Factor</w:t>
            </w:r>
          </w:p>
        </w:tc>
        <w:tc>
          <w:tcPr>
            <w:tcW w:w="1657" w:type="dxa"/>
          </w:tcPr>
          <w:p w14:paraId="449948BA" w14:textId="3ADF9A60"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0.20 </w:t>
            </w:r>
          </w:p>
        </w:tc>
        <w:tc>
          <w:tcPr>
            <w:tcW w:w="1478" w:type="dxa"/>
          </w:tcPr>
          <w:p w14:paraId="4A36C875" w14:textId="2F322E44"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0.20 </w:t>
            </w:r>
          </w:p>
        </w:tc>
        <w:tc>
          <w:tcPr>
            <w:tcW w:w="1545" w:type="dxa"/>
          </w:tcPr>
          <w:p w14:paraId="4787D246" w14:textId="489ADA37"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0.20 </w:t>
            </w:r>
          </w:p>
        </w:tc>
      </w:tr>
      <w:tr w:rsidR="00535B41" w:rsidRPr="00804AB6" w14:paraId="63B5DC79"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71A61306" w14:textId="77777777" w:rsidR="00535B41" w:rsidRPr="00F33709" w:rsidRDefault="00535B41" w:rsidP="00535B41">
            <w:pPr>
              <w:keepNext/>
              <w:rPr>
                <w:rFonts w:ascii="Arial Narrow" w:hAnsi="Arial Narrow" w:cs="Calibri"/>
                <w:color w:val="000000"/>
                <w:szCs w:val="22"/>
              </w:rPr>
            </w:pPr>
          </w:p>
        </w:tc>
        <w:tc>
          <w:tcPr>
            <w:tcW w:w="597" w:type="dxa"/>
          </w:tcPr>
          <w:p w14:paraId="0B34CD16" w14:textId="0D83388D"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4</w:t>
            </w:r>
          </w:p>
        </w:tc>
        <w:tc>
          <w:tcPr>
            <w:tcW w:w="3215" w:type="dxa"/>
            <w:vAlign w:val="bottom"/>
          </w:tcPr>
          <w:p w14:paraId="03AC7ADF" w14:textId="2C523034"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1-Year Persistence Adjustment Factor</w:t>
            </w:r>
          </w:p>
        </w:tc>
        <w:tc>
          <w:tcPr>
            <w:tcW w:w="1657" w:type="dxa"/>
          </w:tcPr>
          <w:p w14:paraId="0AF26121" w14:textId="6A514CB6"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w:t>
            </w:r>
            <w:r w:rsidR="00B15D38">
              <w:rPr>
                <w:rFonts w:ascii="Arial Narrow" w:hAnsi="Arial Narrow"/>
              </w:rPr>
              <w:t>70</w:t>
            </w:r>
            <w:r w:rsidRPr="00F33709">
              <w:rPr>
                <w:rFonts w:ascii="Arial Narrow" w:hAnsi="Arial Narrow"/>
              </w:rPr>
              <w:t xml:space="preserve"> </w:t>
            </w:r>
          </w:p>
        </w:tc>
        <w:tc>
          <w:tcPr>
            <w:tcW w:w="1478" w:type="dxa"/>
          </w:tcPr>
          <w:p w14:paraId="0F84F799" w14:textId="6670D8B8"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w:t>
            </w:r>
            <w:r w:rsidR="00B15D38">
              <w:rPr>
                <w:rFonts w:ascii="Arial Narrow" w:hAnsi="Arial Narrow"/>
              </w:rPr>
              <w:t>70</w:t>
            </w:r>
            <w:r w:rsidRPr="00F33709">
              <w:rPr>
                <w:rFonts w:ascii="Arial Narrow" w:hAnsi="Arial Narrow"/>
              </w:rPr>
              <w:t xml:space="preserve"> </w:t>
            </w:r>
          </w:p>
        </w:tc>
        <w:tc>
          <w:tcPr>
            <w:tcW w:w="1545" w:type="dxa"/>
          </w:tcPr>
          <w:p w14:paraId="7B1B5C6E" w14:textId="2495AB93"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w:t>
            </w:r>
            <w:r w:rsidR="00B15D38">
              <w:rPr>
                <w:rFonts w:ascii="Arial Narrow" w:hAnsi="Arial Narrow"/>
              </w:rPr>
              <w:t>70</w:t>
            </w:r>
            <w:r w:rsidRPr="00F33709">
              <w:rPr>
                <w:rFonts w:ascii="Arial Narrow" w:hAnsi="Arial Narrow"/>
              </w:rPr>
              <w:t xml:space="preserve"> </w:t>
            </w:r>
          </w:p>
        </w:tc>
      </w:tr>
      <w:tr w:rsidR="00535B41" w:rsidRPr="00804AB6" w14:paraId="600D0971"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val="restart"/>
          </w:tcPr>
          <w:p w14:paraId="07B67F68" w14:textId="77777777" w:rsidR="00535B41" w:rsidRPr="00F33709" w:rsidRDefault="00535B41" w:rsidP="00535B41">
            <w:pPr>
              <w:keepNext/>
              <w:jc w:val="left"/>
              <w:rPr>
                <w:rFonts w:ascii="Arial Narrow" w:hAnsi="Arial Narrow" w:cs="Calibri"/>
                <w:color w:val="000000"/>
                <w:szCs w:val="22"/>
              </w:rPr>
            </w:pPr>
            <w:r w:rsidRPr="00F33709">
              <w:rPr>
                <w:rFonts w:ascii="Arial Narrow" w:hAnsi="Arial Narrow" w:cs="Calibri"/>
                <w:color w:val="000000"/>
                <w:szCs w:val="22"/>
              </w:rPr>
              <w:t>C</w:t>
            </w:r>
          </w:p>
        </w:tc>
        <w:tc>
          <w:tcPr>
            <w:tcW w:w="597" w:type="dxa"/>
          </w:tcPr>
          <w:p w14:paraId="7F4261B0"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w:t>
            </w:r>
          </w:p>
        </w:tc>
        <w:tc>
          <w:tcPr>
            <w:tcW w:w="3215" w:type="dxa"/>
            <w:vAlign w:val="bottom"/>
          </w:tcPr>
          <w:p w14:paraId="30AAA3E2" w14:textId="3E70242D"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Retention Rate – 4 Year</w:t>
            </w:r>
          </w:p>
        </w:tc>
        <w:tc>
          <w:tcPr>
            <w:tcW w:w="1657" w:type="dxa"/>
          </w:tcPr>
          <w:p w14:paraId="1D5DF430" w14:textId="0BE0D7C6"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0.81 </w:t>
            </w:r>
          </w:p>
        </w:tc>
        <w:tc>
          <w:tcPr>
            <w:tcW w:w="1478" w:type="dxa"/>
          </w:tcPr>
          <w:p w14:paraId="67859630" w14:textId="4BC25C54"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c>
          <w:tcPr>
            <w:tcW w:w="1545" w:type="dxa"/>
          </w:tcPr>
          <w:p w14:paraId="386D9C2C" w14:textId="59F37667"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r>
      <w:tr w:rsidR="00535B41" w:rsidRPr="00804AB6" w14:paraId="1535880B"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6F301C80" w14:textId="77777777" w:rsidR="00535B41" w:rsidRPr="00F33709" w:rsidRDefault="00535B41" w:rsidP="00535B41">
            <w:pPr>
              <w:keepNext/>
              <w:jc w:val="left"/>
              <w:rPr>
                <w:rFonts w:ascii="Arial Narrow" w:hAnsi="Arial Narrow" w:cs="Calibri"/>
                <w:color w:val="000000"/>
                <w:szCs w:val="22"/>
              </w:rPr>
            </w:pPr>
          </w:p>
        </w:tc>
        <w:tc>
          <w:tcPr>
            <w:tcW w:w="597" w:type="dxa"/>
          </w:tcPr>
          <w:p w14:paraId="23C23C49"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2</w:t>
            </w:r>
          </w:p>
        </w:tc>
        <w:tc>
          <w:tcPr>
            <w:tcW w:w="3215" w:type="dxa"/>
            <w:vAlign w:val="bottom"/>
          </w:tcPr>
          <w:p w14:paraId="6D8F71A4" w14:textId="36047E05"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cs="Calibri"/>
                <w:color w:val="000000"/>
                <w:szCs w:val="22"/>
              </w:rPr>
              <w:t>Retention Rate – 3 Year</w:t>
            </w:r>
          </w:p>
        </w:tc>
        <w:tc>
          <w:tcPr>
            <w:tcW w:w="1657" w:type="dxa"/>
          </w:tcPr>
          <w:p w14:paraId="33079877" w14:textId="456A55C4"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0.86 </w:t>
            </w:r>
          </w:p>
        </w:tc>
        <w:tc>
          <w:tcPr>
            <w:tcW w:w="1478" w:type="dxa"/>
          </w:tcPr>
          <w:p w14:paraId="4153C468" w14:textId="1B69110E"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0.86 </w:t>
            </w:r>
          </w:p>
        </w:tc>
        <w:tc>
          <w:tcPr>
            <w:tcW w:w="1545" w:type="dxa"/>
          </w:tcPr>
          <w:p w14:paraId="4570D8AF" w14:textId="67C77BA1"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0.86 </w:t>
            </w:r>
          </w:p>
        </w:tc>
      </w:tr>
      <w:tr w:rsidR="00535B41" w:rsidRPr="00804AB6" w14:paraId="02BFFEA7"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41B0D900" w14:textId="77777777" w:rsidR="00535B41" w:rsidRPr="00F33709" w:rsidRDefault="00535B41" w:rsidP="00535B41">
            <w:pPr>
              <w:keepNext/>
              <w:jc w:val="left"/>
              <w:rPr>
                <w:rFonts w:ascii="Arial Narrow" w:hAnsi="Arial Narrow" w:cs="Calibri"/>
                <w:color w:val="000000"/>
                <w:szCs w:val="22"/>
              </w:rPr>
            </w:pPr>
          </w:p>
        </w:tc>
        <w:tc>
          <w:tcPr>
            <w:tcW w:w="597" w:type="dxa"/>
          </w:tcPr>
          <w:p w14:paraId="3881A805"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3</w:t>
            </w:r>
          </w:p>
        </w:tc>
        <w:tc>
          <w:tcPr>
            <w:tcW w:w="3215" w:type="dxa"/>
            <w:vAlign w:val="bottom"/>
          </w:tcPr>
          <w:p w14:paraId="6117AB8B" w14:textId="6286F369"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Retention Rate – 2 Year</w:t>
            </w:r>
          </w:p>
        </w:tc>
        <w:tc>
          <w:tcPr>
            <w:tcW w:w="1657" w:type="dxa"/>
          </w:tcPr>
          <w:p w14:paraId="641CEAA1" w14:textId="7E180A65"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0.90 </w:t>
            </w:r>
          </w:p>
        </w:tc>
        <w:tc>
          <w:tcPr>
            <w:tcW w:w="1478" w:type="dxa"/>
          </w:tcPr>
          <w:p w14:paraId="0BEA56BF" w14:textId="7B53C87D"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0.90 </w:t>
            </w:r>
          </w:p>
        </w:tc>
        <w:tc>
          <w:tcPr>
            <w:tcW w:w="1545" w:type="dxa"/>
          </w:tcPr>
          <w:p w14:paraId="44621B59" w14:textId="1008F060"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0.90 </w:t>
            </w:r>
          </w:p>
        </w:tc>
      </w:tr>
      <w:tr w:rsidR="00535B41" w:rsidRPr="00804AB6" w14:paraId="4574A090"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0F1ED685" w14:textId="77777777" w:rsidR="00535B41" w:rsidRPr="00F33709" w:rsidRDefault="00535B41" w:rsidP="00535B41">
            <w:pPr>
              <w:keepNext/>
              <w:rPr>
                <w:rFonts w:ascii="Arial Narrow" w:hAnsi="Arial Narrow" w:cs="Calibri"/>
                <w:color w:val="000000"/>
                <w:szCs w:val="22"/>
              </w:rPr>
            </w:pPr>
          </w:p>
        </w:tc>
        <w:tc>
          <w:tcPr>
            <w:tcW w:w="597" w:type="dxa"/>
          </w:tcPr>
          <w:p w14:paraId="2D185EE5" w14:textId="3DD54A0B"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4</w:t>
            </w:r>
          </w:p>
        </w:tc>
        <w:tc>
          <w:tcPr>
            <w:tcW w:w="3215" w:type="dxa"/>
            <w:vAlign w:val="bottom"/>
          </w:tcPr>
          <w:p w14:paraId="1AFD41F9" w14:textId="151D44DF"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Retention Rate – 1 Year</w:t>
            </w:r>
          </w:p>
        </w:tc>
        <w:tc>
          <w:tcPr>
            <w:tcW w:w="1657" w:type="dxa"/>
          </w:tcPr>
          <w:p w14:paraId="00D8AB94" w14:textId="41FA4F91"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0.95 </w:t>
            </w:r>
          </w:p>
        </w:tc>
        <w:tc>
          <w:tcPr>
            <w:tcW w:w="1478" w:type="dxa"/>
          </w:tcPr>
          <w:p w14:paraId="133AF023" w14:textId="4DE0E463"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w:t>
            </w:r>
          </w:p>
        </w:tc>
        <w:tc>
          <w:tcPr>
            <w:tcW w:w="1545" w:type="dxa"/>
          </w:tcPr>
          <w:p w14:paraId="571B1800" w14:textId="3ACB4C76"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0.95 </w:t>
            </w:r>
          </w:p>
        </w:tc>
      </w:tr>
      <w:tr w:rsidR="00535B41" w:rsidRPr="00804AB6" w14:paraId="28B5A0B6"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val="restart"/>
          </w:tcPr>
          <w:p w14:paraId="1A98ED90" w14:textId="77777777" w:rsidR="00535B41" w:rsidRPr="00F33709" w:rsidRDefault="00535B41" w:rsidP="00535B41">
            <w:pPr>
              <w:keepNext/>
              <w:jc w:val="left"/>
              <w:rPr>
                <w:rFonts w:ascii="Arial Narrow" w:hAnsi="Arial Narrow" w:cs="Calibri"/>
                <w:color w:val="000000"/>
                <w:szCs w:val="22"/>
              </w:rPr>
            </w:pPr>
            <w:r w:rsidRPr="00F33709">
              <w:rPr>
                <w:rFonts w:ascii="Arial Narrow" w:hAnsi="Arial Narrow" w:cs="Calibri"/>
                <w:color w:val="000000"/>
                <w:szCs w:val="22"/>
              </w:rPr>
              <w:t>D</w:t>
            </w:r>
          </w:p>
        </w:tc>
        <w:tc>
          <w:tcPr>
            <w:tcW w:w="597" w:type="dxa"/>
          </w:tcPr>
          <w:p w14:paraId="77DE7D2F"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w:t>
            </w:r>
          </w:p>
        </w:tc>
        <w:tc>
          <w:tcPr>
            <w:tcW w:w="3215" w:type="dxa"/>
            <w:vAlign w:val="bottom"/>
          </w:tcPr>
          <w:p w14:paraId="2D757D0B"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Savings Attributed to 2019</w:t>
            </w:r>
          </w:p>
        </w:tc>
        <w:tc>
          <w:tcPr>
            <w:tcW w:w="1657" w:type="dxa"/>
          </w:tcPr>
          <w:p w14:paraId="0F4AEA56" w14:textId="70DF744C"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1,639 </w:t>
            </w:r>
          </w:p>
        </w:tc>
        <w:tc>
          <w:tcPr>
            <w:tcW w:w="1478" w:type="dxa"/>
          </w:tcPr>
          <w:p w14:paraId="23596EA1" w14:textId="0DDFE47F"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c>
          <w:tcPr>
            <w:tcW w:w="1545" w:type="dxa"/>
          </w:tcPr>
          <w:p w14:paraId="480CA8D4" w14:textId="23943BAD"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szCs w:val="22"/>
              </w:rPr>
              <w:t>-</w:t>
            </w:r>
          </w:p>
        </w:tc>
      </w:tr>
      <w:tr w:rsidR="00535B41" w:rsidRPr="00804AB6" w14:paraId="0443B6F9"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5AE33BD5" w14:textId="77777777" w:rsidR="00535B41" w:rsidRPr="00F33709" w:rsidRDefault="00535B41" w:rsidP="00535B41">
            <w:pPr>
              <w:keepNext/>
              <w:jc w:val="left"/>
              <w:rPr>
                <w:rFonts w:ascii="Arial Narrow" w:hAnsi="Arial Narrow" w:cs="Calibri"/>
                <w:color w:val="000000"/>
                <w:szCs w:val="22"/>
              </w:rPr>
            </w:pPr>
          </w:p>
        </w:tc>
        <w:tc>
          <w:tcPr>
            <w:tcW w:w="597" w:type="dxa"/>
          </w:tcPr>
          <w:p w14:paraId="5A7B52CA"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2</w:t>
            </w:r>
          </w:p>
        </w:tc>
        <w:tc>
          <w:tcPr>
            <w:tcW w:w="3215" w:type="dxa"/>
            <w:vAlign w:val="bottom"/>
          </w:tcPr>
          <w:p w14:paraId="4823E540" w14:textId="77777777"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cs="Calibri"/>
                <w:color w:val="000000"/>
                <w:szCs w:val="22"/>
              </w:rPr>
              <w:t>Savings Attributed to 2020</w:t>
            </w:r>
          </w:p>
        </w:tc>
        <w:tc>
          <w:tcPr>
            <w:tcW w:w="1657" w:type="dxa"/>
          </w:tcPr>
          <w:p w14:paraId="241EA83C" w14:textId="5E2D19C6"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89,868 </w:t>
            </w:r>
          </w:p>
        </w:tc>
        <w:tc>
          <w:tcPr>
            <w:tcW w:w="1478" w:type="dxa"/>
          </w:tcPr>
          <w:p w14:paraId="4BBBB316" w14:textId="0342A21E"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112 </w:t>
            </w:r>
          </w:p>
        </w:tc>
        <w:tc>
          <w:tcPr>
            <w:tcW w:w="1545" w:type="dxa"/>
          </w:tcPr>
          <w:p w14:paraId="4728D36C" w14:textId="1A530BD7"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33709">
              <w:rPr>
                <w:rFonts w:ascii="Arial Narrow" w:hAnsi="Arial Narrow"/>
              </w:rPr>
              <w:t xml:space="preserve"> 3,030 </w:t>
            </w:r>
          </w:p>
        </w:tc>
      </w:tr>
      <w:tr w:rsidR="00535B41" w:rsidRPr="00804AB6" w14:paraId="6ED2C6AF"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34CF0EAD" w14:textId="77777777" w:rsidR="00535B41" w:rsidRPr="00F33709" w:rsidRDefault="00535B41" w:rsidP="00535B41">
            <w:pPr>
              <w:keepNext/>
              <w:jc w:val="left"/>
              <w:rPr>
                <w:rFonts w:ascii="Arial Narrow" w:hAnsi="Arial Narrow" w:cs="Calibri"/>
                <w:color w:val="000000"/>
                <w:szCs w:val="22"/>
              </w:rPr>
            </w:pPr>
          </w:p>
        </w:tc>
        <w:tc>
          <w:tcPr>
            <w:tcW w:w="597" w:type="dxa"/>
          </w:tcPr>
          <w:p w14:paraId="0672E0BD"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3</w:t>
            </w:r>
          </w:p>
        </w:tc>
        <w:tc>
          <w:tcPr>
            <w:tcW w:w="3215" w:type="dxa"/>
            <w:vAlign w:val="bottom"/>
          </w:tcPr>
          <w:p w14:paraId="002456A1"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Savings Attributed to 2021</w:t>
            </w:r>
          </w:p>
        </w:tc>
        <w:tc>
          <w:tcPr>
            <w:tcW w:w="1657" w:type="dxa"/>
          </w:tcPr>
          <w:p w14:paraId="0D1C1929" w14:textId="561ED6FD"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123,169 </w:t>
            </w:r>
          </w:p>
        </w:tc>
        <w:tc>
          <w:tcPr>
            <w:tcW w:w="1478" w:type="dxa"/>
          </w:tcPr>
          <w:p w14:paraId="6DF76310" w14:textId="782A82A5"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73,719 </w:t>
            </w:r>
          </w:p>
        </w:tc>
        <w:tc>
          <w:tcPr>
            <w:tcW w:w="1545" w:type="dxa"/>
          </w:tcPr>
          <w:p w14:paraId="09FDF5FE" w14:textId="4A8C2376"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27,944 </w:t>
            </w:r>
          </w:p>
        </w:tc>
      </w:tr>
      <w:tr w:rsidR="00535B41" w:rsidRPr="00804AB6" w14:paraId="5570FBEC" w14:textId="77777777" w:rsidTr="0053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vMerge/>
          </w:tcPr>
          <w:p w14:paraId="7068BD64" w14:textId="77777777" w:rsidR="00535B41" w:rsidRPr="00F33709" w:rsidRDefault="00535B41" w:rsidP="00535B41">
            <w:pPr>
              <w:keepNext/>
              <w:rPr>
                <w:rFonts w:ascii="Arial Narrow" w:hAnsi="Arial Narrow" w:cs="Calibri"/>
                <w:color w:val="000000"/>
                <w:szCs w:val="22"/>
              </w:rPr>
            </w:pPr>
          </w:p>
        </w:tc>
        <w:tc>
          <w:tcPr>
            <w:tcW w:w="597" w:type="dxa"/>
          </w:tcPr>
          <w:p w14:paraId="7D3691BF" w14:textId="1E83337B"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4</w:t>
            </w:r>
          </w:p>
        </w:tc>
        <w:tc>
          <w:tcPr>
            <w:tcW w:w="3215" w:type="dxa"/>
            <w:vAlign w:val="bottom"/>
          </w:tcPr>
          <w:p w14:paraId="3182464C" w14:textId="480C5FB4" w:rsidR="00535B41" w:rsidRPr="00F33709" w:rsidRDefault="00535B41" w:rsidP="00535B4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Savings Attributed to 2022</w:t>
            </w:r>
          </w:p>
        </w:tc>
        <w:tc>
          <w:tcPr>
            <w:tcW w:w="1657" w:type="dxa"/>
          </w:tcPr>
          <w:p w14:paraId="6DCF9977" w14:textId="7D394685"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333,539 </w:t>
            </w:r>
          </w:p>
        </w:tc>
        <w:tc>
          <w:tcPr>
            <w:tcW w:w="1478" w:type="dxa"/>
          </w:tcPr>
          <w:p w14:paraId="503F4B7D" w14:textId="77777777"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1545" w:type="dxa"/>
          </w:tcPr>
          <w:p w14:paraId="273FCB8F" w14:textId="195368A9" w:rsidR="00535B41" w:rsidRPr="00F33709" w:rsidRDefault="00535B41" w:rsidP="00535B41">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172,548 </w:t>
            </w:r>
          </w:p>
        </w:tc>
      </w:tr>
      <w:tr w:rsidR="00535B41" w:rsidRPr="00804AB6" w14:paraId="0E321D49" w14:textId="77777777" w:rsidTr="0053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Pr>
          <w:p w14:paraId="271D2C14" w14:textId="77777777" w:rsidR="00535B41" w:rsidRPr="00F33709" w:rsidRDefault="00535B41" w:rsidP="00535B41">
            <w:pPr>
              <w:keepNext/>
              <w:jc w:val="left"/>
              <w:rPr>
                <w:rFonts w:ascii="Arial Narrow" w:hAnsi="Arial Narrow" w:cs="Calibri"/>
                <w:color w:val="000000"/>
                <w:szCs w:val="22"/>
              </w:rPr>
            </w:pPr>
            <w:r w:rsidRPr="00F33709">
              <w:rPr>
                <w:rFonts w:ascii="Arial Narrow" w:hAnsi="Arial Narrow" w:cs="Calibri"/>
                <w:color w:val="000000"/>
                <w:szCs w:val="22"/>
              </w:rPr>
              <w:t>E</w:t>
            </w:r>
          </w:p>
        </w:tc>
        <w:tc>
          <w:tcPr>
            <w:tcW w:w="597" w:type="dxa"/>
          </w:tcPr>
          <w:p w14:paraId="2530BBA2"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cs="Calibri"/>
                <w:color w:val="000000"/>
                <w:szCs w:val="22"/>
              </w:rPr>
              <w:t>1</w:t>
            </w:r>
          </w:p>
        </w:tc>
        <w:tc>
          <w:tcPr>
            <w:tcW w:w="3215" w:type="dxa"/>
            <w:vAlign w:val="bottom"/>
          </w:tcPr>
          <w:p w14:paraId="599AEA73" w14:textId="77777777" w:rsidR="00535B41" w:rsidRPr="00F33709" w:rsidRDefault="00535B41" w:rsidP="00535B4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cs="Calibri"/>
                <w:color w:val="000000"/>
                <w:szCs w:val="22"/>
              </w:rPr>
              <w:t>Total Persistence Adjustment</w:t>
            </w:r>
          </w:p>
        </w:tc>
        <w:tc>
          <w:tcPr>
            <w:tcW w:w="1657" w:type="dxa"/>
          </w:tcPr>
          <w:p w14:paraId="27212B40" w14:textId="2C634476"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548,216 </w:t>
            </w:r>
          </w:p>
        </w:tc>
        <w:tc>
          <w:tcPr>
            <w:tcW w:w="1478" w:type="dxa"/>
          </w:tcPr>
          <w:p w14:paraId="0F8AC64F" w14:textId="77461CEF"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33709">
              <w:rPr>
                <w:rFonts w:ascii="Arial Narrow" w:hAnsi="Arial Narrow"/>
              </w:rPr>
              <w:t xml:space="preserve"> 73,831 </w:t>
            </w:r>
          </w:p>
        </w:tc>
        <w:tc>
          <w:tcPr>
            <w:tcW w:w="1545" w:type="dxa"/>
          </w:tcPr>
          <w:p w14:paraId="3E84F830" w14:textId="06377680" w:rsidR="00535B41" w:rsidRPr="00F33709" w:rsidRDefault="00535B41" w:rsidP="00535B41">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33709">
              <w:rPr>
                <w:rFonts w:ascii="Arial Narrow" w:hAnsi="Arial Narrow"/>
              </w:rPr>
              <w:t xml:space="preserve"> 203,522 </w:t>
            </w:r>
          </w:p>
        </w:tc>
      </w:tr>
    </w:tbl>
    <w:p w14:paraId="339A36D0" w14:textId="77777777" w:rsidR="00CB29B0" w:rsidRPr="00620B63" w:rsidRDefault="00CB29B0" w:rsidP="00CB29B0">
      <w:pPr>
        <w:pStyle w:val="Source"/>
        <w:ind w:firstLine="540"/>
        <w:rPr>
          <w:sz w:val="18"/>
          <w:szCs w:val="22"/>
        </w:rPr>
      </w:pPr>
      <w:r w:rsidRPr="00307F73">
        <w:rPr>
          <w:sz w:val="18"/>
          <w:szCs w:val="22"/>
        </w:rPr>
        <w:t>Source: Guidehouse analysis of Nicor Gas program tracking and customer billing data.</w:t>
      </w:r>
    </w:p>
    <w:p w14:paraId="3E35935E" w14:textId="77777777" w:rsidR="00CB29B0" w:rsidRDefault="00CB29B0" w:rsidP="00CB29B0">
      <w:pPr>
        <w:sectPr w:rsidR="00CB29B0" w:rsidSect="00BB5E4D">
          <w:pgSz w:w="12240" w:h="15840" w:code="1"/>
          <w:pgMar w:top="1440" w:right="1440" w:bottom="1440" w:left="1440" w:header="720" w:footer="720" w:gutter="0"/>
          <w:pgNumType w:start="1" w:chapStyle="5"/>
          <w:cols w:space="720"/>
          <w:docGrid w:linePitch="360"/>
        </w:sectPr>
      </w:pPr>
    </w:p>
    <w:p w14:paraId="286353C4" w14:textId="77777777" w:rsidR="00CB29B0" w:rsidRDefault="00CB29B0" w:rsidP="00CB29B0">
      <w:pPr>
        <w:pStyle w:val="Heading5"/>
      </w:pPr>
      <w:bookmarkStart w:id="62" w:name="_Toc132900792"/>
      <w:bookmarkStart w:id="63" w:name="_Ref132905873"/>
      <w:bookmarkStart w:id="64" w:name="_Ref132905901"/>
      <w:bookmarkStart w:id="65" w:name="_Ref132905918"/>
      <w:bookmarkStart w:id="66" w:name="_Ref132905925"/>
      <w:bookmarkStart w:id="67" w:name="_Ref133566407"/>
      <w:bookmarkStart w:id="68" w:name="_Toc137824764"/>
      <w:bookmarkStart w:id="69" w:name="_Toc165145394"/>
      <w:r>
        <w:lastRenderedPageBreak/>
        <w:t>Detailed Impact Analysis Results</w:t>
      </w:r>
      <w:bookmarkEnd w:id="62"/>
      <w:bookmarkEnd w:id="63"/>
      <w:bookmarkEnd w:id="64"/>
      <w:bookmarkEnd w:id="65"/>
      <w:bookmarkEnd w:id="66"/>
      <w:bookmarkEnd w:id="67"/>
      <w:bookmarkEnd w:id="68"/>
      <w:bookmarkEnd w:id="69"/>
    </w:p>
    <w:p w14:paraId="05915F26" w14:textId="77777777" w:rsidR="00CB29B0" w:rsidRPr="007E7B1A" w:rsidRDefault="00CB29B0" w:rsidP="00CB29B0">
      <w:pPr>
        <w:keepNext/>
        <w:keepLines/>
      </w:pPr>
      <w:bookmarkStart w:id="70" w:name="_Hlk132795188"/>
      <w:r>
        <w:t>This appendix presents detailed savings and aggregated uplift analysis results. Tables with the regression outputs and detailed uplift results are available upon request.</w:t>
      </w:r>
      <w:bookmarkEnd w:id="70"/>
    </w:p>
    <w:p w14:paraId="34FBD939" w14:textId="77777777" w:rsidR="00CB29B0" w:rsidRPr="007E7B1A" w:rsidRDefault="00CB29B0" w:rsidP="00CB29B0">
      <w:pPr>
        <w:pStyle w:val="Heading6"/>
      </w:pPr>
      <w:bookmarkStart w:id="71" w:name="_Toc110421333"/>
      <w:bookmarkStart w:id="72" w:name="_Toc132900793"/>
      <w:bookmarkStart w:id="73" w:name="_Toc137824765"/>
      <w:bookmarkStart w:id="74" w:name="_Toc165145395"/>
      <w:r>
        <w:t>Savings</w:t>
      </w:r>
      <w:bookmarkEnd w:id="71"/>
      <w:bookmarkEnd w:id="72"/>
      <w:bookmarkEnd w:id="73"/>
      <w:bookmarkEnd w:id="74"/>
    </w:p>
    <w:p w14:paraId="3CC91DD3" w14:textId="77777777" w:rsidR="00CB29B0" w:rsidRDefault="00CB29B0" w:rsidP="00CB29B0">
      <w:pPr>
        <w:keepNext/>
        <w:keepLines/>
        <w:spacing w:after="240"/>
      </w:pPr>
      <w:r>
        <w:t>This appendix presents detailed savings and aggregated uplift analysis results. Tables with the regression outputs and detailed uplift results are available upon request.</w:t>
      </w:r>
    </w:p>
    <w:p w14:paraId="0A89F163" w14:textId="101D6B7A" w:rsidR="00CB29B0" w:rsidRDefault="00FA03A3" w:rsidP="00CB29B0">
      <w:r>
        <w:fldChar w:fldCharType="begin"/>
      </w:r>
      <w:r>
        <w:instrText xml:space="preserve"> REF _Ref164780988 \h </w:instrText>
      </w:r>
      <w:r>
        <w:fldChar w:fldCharType="separate"/>
      </w:r>
      <w:r w:rsidR="00571E01">
        <w:t xml:space="preserve">Table </w:t>
      </w:r>
      <w:r w:rsidR="00571E01">
        <w:rPr>
          <w:noProof/>
        </w:rPr>
        <w:t>B</w:t>
      </w:r>
      <w:r w:rsidR="00571E01">
        <w:noBreakHyphen/>
      </w:r>
      <w:r w:rsidR="00571E01">
        <w:rPr>
          <w:noProof/>
        </w:rPr>
        <w:t>1</w:t>
      </w:r>
      <w:r>
        <w:fldChar w:fldCharType="end"/>
      </w:r>
      <w:r w:rsidR="00CB29B0">
        <w:t xml:space="preserve"> </w:t>
      </w:r>
      <w:r w:rsidR="00CB29B0" w:rsidRPr="00D90F82">
        <w:t xml:space="preserve">summarizes </w:t>
      </w:r>
      <w:r w:rsidR="00CB29B0">
        <w:t xml:space="preserve">estimated </w:t>
      </w:r>
      <w:r w:rsidR="00CB29B0" w:rsidRPr="00D90F82">
        <w:t>program savings including uplift adjustments.</w:t>
      </w:r>
      <w:r w:rsidR="00CB29B0">
        <w:t xml:space="preserve"> </w:t>
      </w:r>
      <w:r w:rsidR="000532C6">
        <w:fldChar w:fldCharType="begin"/>
      </w:r>
      <w:r w:rsidR="000532C6">
        <w:instrText xml:space="preserve"> REF _Ref164780988 \h </w:instrText>
      </w:r>
      <w:r w:rsidR="000532C6">
        <w:fldChar w:fldCharType="separate"/>
      </w:r>
      <w:r w:rsidR="000532C6">
        <w:t xml:space="preserve">Table </w:t>
      </w:r>
      <w:r w:rsidR="000532C6">
        <w:rPr>
          <w:noProof/>
        </w:rPr>
        <w:t>B</w:t>
      </w:r>
      <w:r w:rsidR="000532C6">
        <w:noBreakHyphen/>
      </w:r>
      <w:r w:rsidR="000532C6">
        <w:rPr>
          <w:noProof/>
        </w:rPr>
        <w:t>1</w:t>
      </w:r>
      <w:r w:rsidR="000532C6">
        <w:fldChar w:fldCharType="end"/>
      </w:r>
      <w:r w:rsidR="00CB29B0" w:rsidRPr="00D90F82">
        <w:t xml:space="preserve"> also include</w:t>
      </w:r>
      <w:r w:rsidR="00CB29B0">
        <w:t>s</w:t>
      </w:r>
      <w:r w:rsidR="00CB29B0" w:rsidRPr="00D90F82">
        <w:t xml:space="preserve"> the number of participants, controls, and average savings rates. Both </w:t>
      </w:r>
      <w:r w:rsidR="00CB29B0">
        <w:t xml:space="preserve">modeled savings </w:t>
      </w:r>
      <w:r w:rsidR="00CB29B0" w:rsidRPr="00D90F82">
        <w:t xml:space="preserve">and average savings rates include standard error figures. </w:t>
      </w:r>
      <w:r w:rsidR="00646295">
        <w:rPr>
          <w:rStyle w:val="ui-provider"/>
        </w:rPr>
        <w:t>Note that savings for Wave 3 were not statistically significant</w:t>
      </w:r>
      <w:r w:rsidR="000532C6">
        <w:rPr>
          <w:rStyle w:val="ui-provider"/>
        </w:rPr>
        <w:t>,</w:t>
      </w:r>
      <w:r w:rsidR="00646295">
        <w:rPr>
          <w:rStyle w:val="ui-provider"/>
        </w:rPr>
        <w:t xml:space="preserve"> resulting in no claimable CY2023 savings; numbers shown in </w:t>
      </w:r>
      <w:r w:rsidR="00A6683E">
        <w:fldChar w:fldCharType="begin"/>
      </w:r>
      <w:r w:rsidR="00A6683E">
        <w:instrText xml:space="preserve"> REF _Ref164780988 \h </w:instrText>
      </w:r>
      <w:r w:rsidR="00A6683E">
        <w:fldChar w:fldCharType="separate"/>
      </w:r>
      <w:r w:rsidR="00A6683E">
        <w:t xml:space="preserve">Table </w:t>
      </w:r>
      <w:r w:rsidR="00A6683E">
        <w:rPr>
          <w:noProof/>
        </w:rPr>
        <w:t>B</w:t>
      </w:r>
      <w:r w:rsidR="00A6683E">
        <w:noBreakHyphen/>
      </w:r>
      <w:r w:rsidR="00A6683E">
        <w:rPr>
          <w:noProof/>
        </w:rPr>
        <w:t>1</w:t>
      </w:r>
      <w:r w:rsidR="00A6683E">
        <w:fldChar w:fldCharType="end"/>
      </w:r>
      <w:r w:rsidR="00646295">
        <w:rPr>
          <w:rStyle w:val="ui-provider"/>
        </w:rPr>
        <w:t xml:space="preserve"> show </w:t>
      </w:r>
      <w:proofErr w:type="spellStart"/>
      <w:r w:rsidR="00646295">
        <w:rPr>
          <w:rStyle w:val="ui-provider"/>
        </w:rPr>
        <w:t>Guidehouse’s</w:t>
      </w:r>
      <w:proofErr w:type="spellEnd"/>
      <w:r w:rsidR="00646295">
        <w:rPr>
          <w:rStyle w:val="ui-provider"/>
        </w:rPr>
        <w:t xml:space="preserve"> estimated savings for reference even though the</w:t>
      </w:r>
      <w:r w:rsidR="005A158F">
        <w:rPr>
          <w:rStyle w:val="ui-provider"/>
        </w:rPr>
        <w:t>se</w:t>
      </w:r>
      <w:r w:rsidR="00646295">
        <w:rPr>
          <w:rStyle w:val="ui-provider"/>
        </w:rPr>
        <w:t xml:space="preserve"> are not claimable. </w:t>
      </w:r>
      <w:r w:rsidR="000D70C6">
        <w:fldChar w:fldCharType="begin"/>
      </w:r>
      <w:r w:rsidR="000D70C6">
        <w:instrText xml:space="preserve"> REF _Ref164780988 \h </w:instrText>
      </w:r>
      <w:r w:rsidR="000D70C6">
        <w:fldChar w:fldCharType="separate"/>
      </w:r>
      <w:r w:rsidR="000D70C6">
        <w:t xml:space="preserve">Table </w:t>
      </w:r>
      <w:r w:rsidR="000D70C6">
        <w:rPr>
          <w:noProof/>
        </w:rPr>
        <w:t>B</w:t>
      </w:r>
      <w:r w:rsidR="000D70C6">
        <w:noBreakHyphen/>
      </w:r>
      <w:r w:rsidR="000D70C6">
        <w:rPr>
          <w:noProof/>
        </w:rPr>
        <w:t>1</w:t>
      </w:r>
      <w:r w:rsidR="000D70C6">
        <w:fldChar w:fldCharType="end"/>
      </w:r>
      <w:r w:rsidR="00CB29B0">
        <w:t xml:space="preserve"> reflects claimed savings for </w:t>
      </w:r>
      <w:r w:rsidR="00646295">
        <w:t>CY</w:t>
      </w:r>
      <w:r w:rsidR="00CB29B0">
        <w:t>202</w:t>
      </w:r>
      <w:r w:rsidR="00523430">
        <w:t>3</w:t>
      </w:r>
      <w:r w:rsidR="00CB29B0">
        <w:t xml:space="preserve"> for Wave</w:t>
      </w:r>
      <w:r w:rsidR="00646295">
        <w:t>s</w:t>
      </w:r>
      <w:r w:rsidR="00CB29B0">
        <w:t xml:space="preserve"> 1</w:t>
      </w:r>
      <w:r w:rsidR="00646295">
        <w:t xml:space="preserve"> and 2</w:t>
      </w:r>
      <w:r w:rsidR="00CB29B0">
        <w:t>.</w:t>
      </w:r>
    </w:p>
    <w:p w14:paraId="7528D04F" w14:textId="2A261D70" w:rsidR="00CB29B0" w:rsidRDefault="00CB29B0" w:rsidP="00FA03A3">
      <w:pPr>
        <w:pStyle w:val="Caption"/>
        <w:jc w:val="left"/>
      </w:pPr>
    </w:p>
    <w:p w14:paraId="717EFCF8" w14:textId="492EB73E" w:rsidR="00237ED4" w:rsidRDefault="00571E01" w:rsidP="00237ED4">
      <w:pPr>
        <w:pStyle w:val="Caption"/>
      </w:pPr>
      <w:bookmarkStart w:id="75" w:name="_Ref164780988"/>
      <w:bookmarkStart w:id="76" w:name="_Toc165318883"/>
      <w:r>
        <w:t xml:space="preserve">Table </w:t>
      </w:r>
      <w:r w:rsidR="00372B72">
        <w:fldChar w:fldCharType="begin"/>
      </w:r>
      <w:r w:rsidR="00372B72">
        <w:instrText xml:space="preserve"> STYLEREF 5 \s </w:instrText>
      </w:r>
      <w:r w:rsidR="00372B72">
        <w:fldChar w:fldCharType="separate"/>
      </w:r>
      <w:r>
        <w:rPr>
          <w:noProof/>
        </w:rPr>
        <w:t>B</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Pr>
          <w:noProof/>
        </w:rPr>
        <w:t>1</w:t>
      </w:r>
      <w:r w:rsidR="00372B72">
        <w:rPr>
          <w:noProof/>
        </w:rPr>
        <w:fldChar w:fldCharType="end"/>
      </w:r>
      <w:bookmarkEnd w:id="75"/>
      <w:r w:rsidR="00237ED4">
        <w:t xml:space="preserve">. </w:t>
      </w:r>
      <w:r w:rsidR="00237ED4" w:rsidRPr="00E92042">
        <w:t>202</w:t>
      </w:r>
      <w:r w:rsidR="00237ED4">
        <w:t>3</w:t>
      </w:r>
      <w:r w:rsidR="00237ED4" w:rsidRPr="00E92042">
        <w:t xml:space="preserve"> Savings Results</w:t>
      </w:r>
      <w:bookmarkEnd w:id="76"/>
    </w:p>
    <w:tbl>
      <w:tblPr>
        <w:tblStyle w:val="EnergyTable1"/>
        <w:tblW w:w="8742" w:type="dxa"/>
        <w:tblLook w:val="04A0" w:firstRow="1" w:lastRow="0" w:firstColumn="1" w:lastColumn="0" w:noHBand="0" w:noVBand="1"/>
      </w:tblPr>
      <w:tblGrid>
        <w:gridCol w:w="4464"/>
        <w:gridCol w:w="1426"/>
        <w:gridCol w:w="1426"/>
        <w:gridCol w:w="1426"/>
      </w:tblGrid>
      <w:tr w:rsidR="00523430" w:rsidRPr="002E2F4E" w14:paraId="12D2963C" w14:textId="77777777" w:rsidTr="0052343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hideMark/>
          </w:tcPr>
          <w:p w14:paraId="39CC5778" w14:textId="77777777" w:rsidR="00523430" w:rsidRPr="002E2F4E" w:rsidRDefault="00523430" w:rsidP="00757E7A">
            <w:pPr>
              <w:keepNext/>
              <w:keepLines/>
              <w:jc w:val="left"/>
              <w:rPr>
                <w:rFonts w:ascii="Arial Narrow" w:hAnsi="Arial Narrow" w:cs="Calibri"/>
                <w:sz w:val="20"/>
              </w:rPr>
            </w:pPr>
            <w:bookmarkStart w:id="77" w:name="_Hlk132812898"/>
            <w:r w:rsidRPr="002E2F4E">
              <w:rPr>
                <w:rFonts w:ascii="Arial Narrow" w:hAnsi="Arial Narrow" w:cs="Calibri"/>
                <w:sz w:val="20"/>
              </w:rPr>
              <w:t>Savings Category</w:t>
            </w:r>
          </w:p>
        </w:tc>
        <w:tc>
          <w:tcPr>
            <w:tcW w:w="1426" w:type="dxa"/>
            <w:noWrap/>
          </w:tcPr>
          <w:p w14:paraId="6F44584E" w14:textId="77777777" w:rsidR="00523430" w:rsidRPr="002E2F4E" w:rsidRDefault="0052343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sz w:val="20"/>
              </w:rPr>
            </w:pPr>
            <w:r w:rsidRPr="002E2F4E">
              <w:rPr>
                <w:rFonts w:ascii="Arial Narrow" w:hAnsi="Arial Narrow" w:cs="Calibri"/>
                <w:sz w:val="20"/>
              </w:rPr>
              <w:t>Wave 1</w:t>
            </w:r>
          </w:p>
        </w:tc>
        <w:tc>
          <w:tcPr>
            <w:tcW w:w="1426" w:type="dxa"/>
          </w:tcPr>
          <w:p w14:paraId="4D31FC5F" w14:textId="1045DD40" w:rsidR="00523430" w:rsidRPr="002E2F4E" w:rsidRDefault="0052343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sz w:val="20"/>
              </w:rPr>
            </w:pPr>
            <w:r w:rsidRPr="002E2F4E">
              <w:rPr>
                <w:rFonts w:ascii="Arial Narrow" w:hAnsi="Arial Narrow" w:cs="Calibri"/>
                <w:sz w:val="20"/>
              </w:rPr>
              <w:t>Wave 2</w:t>
            </w:r>
          </w:p>
        </w:tc>
        <w:tc>
          <w:tcPr>
            <w:tcW w:w="1426" w:type="dxa"/>
          </w:tcPr>
          <w:p w14:paraId="2BFC8DA4" w14:textId="68BA4690" w:rsidR="00523430" w:rsidRPr="002E2F4E" w:rsidRDefault="0052343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sz w:val="20"/>
              </w:rPr>
            </w:pPr>
            <w:r w:rsidRPr="002E2F4E">
              <w:rPr>
                <w:rFonts w:ascii="Arial Narrow" w:hAnsi="Arial Narrow" w:cs="Calibri"/>
                <w:sz w:val="20"/>
              </w:rPr>
              <w:t>Wave 3</w:t>
            </w:r>
          </w:p>
        </w:tc>
      </w:tr>
      <w:tr w:rsidR="00535B41" w:rsidRPr="002E2F4E" w14:paraId="326D815A"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hideMark/>
          </w:tcPr>
          <w:p w14:paraId="33DA447A" w14:textId="77777777" w:rsidR="00535B41" w:rsidRPr="002E2F4E" w:rsidRDefault="00535B41" w:rsidP="00535B41">
            <w:pPr>
              <w:keepNext/>
              <w:keepLines/>
              <w:jc w:val="left"/>
              <w:rPr>
                <w:rFonts w:ascii="Arial Narrow" w:hAnsi="Arial Narrow" w:cs="Calibri"/>
                <w:color w:val="000000"/>
              </w:rPr>
            </w:pPr>
            <w:r w:rsidRPr="002E2F4E">
              <w:rPr>
                <w:rFonts w:ascii="Arial Narrow" w:hAnsi="Arial Narrow" w:cs="Calibri"/>
                <w:sz w:val="20"/>
              </w:rPr>
              <w:t>Treatment Customer Count*</w:t>
            </w:r>
          </w:p>
        </w:tc>
        <w:tc>
          <w:tcPr>
            <w:tcW w:w="1426" w:type="dxa"/>
            <w:noWrap/>
            <w:vAlign w:val="top"/>
          </w:tcPr>
          <w:p w14:paraId="5781DD80" w14:textId="3DD6B3D3"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127,207 </w:t>
            </w:r>
          </w:p>
        </w:tc>
        <w:tc>
          <w:tcPr>
            <w:tcW w:w="1426" w:type="dxa"/>
            <w:vAlign w:val="top"/>
          </w:tcPr>
          <w:p w14:paraId="7FE20F7A" w14:textId="70BD8BA1"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173,827 </w:t>
            </w:r>
          </w:p>
        </w:tc>
        <w:tc>
          <w:tcPr>
            <w:tcW w:w="1426" w:type="dxa"/>
            <w:vAlign w:val="top"/>
          </w:tcPr>
          <w:p w14:paraId="2C1B67E5" w14:textId="1F4EAF18"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186,105 </w:t>
            </w:r>
          </w:p>
        </w:tc>
      </w:tr>
      <w:tr w:rsidR="00535B41" w:rsidRPr="002E2F4E" w14:paraId="42C0D163"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hideMark/>
          </w:tcPr>
          <w:p w14:paraId="2E082646" w14:textId="77777777" w:rsidR="00535B41" w:rsidRPr="002E2F4E" w:rsidRDefault="00535B41" w:rsidP="00535B41">
            <w:pPr>
              <w:keepNext/>
              <w:keepLines/>
              <w:jc w:val="left"/>
              <w:rPr>
                <w:rFonts w:ascii="Arial Narrow" w:hAnsi="Arial Narrow" w:cs="Calibri"/>
                <w:color w:val="000000"/>
              </w:rPr>
            </w:pPr>
            <w:r w:rsidRPr="002E2F4E">
              <w:rPr>
                <w:rFonts w:ascii="Arial Narrow" w:hAnsi="Arial Narrow" w:cs="Calibri"/>
                <w:sz w:val="20"/>
              </w:rPr>
              <w:t>Control Customer Count*</w:t>
            </w:r>
          </w:p>
        </w:tc>
        <w:tc>
          <w:tcPr>
            <w:tcW w:w="1426" w:type="dxa"/>
            <w:noWrap/>
            <w:vAlign w:val="top"/>
          </w:tcPr>
          <w:p w14:paraId="09B11756" w14:textId="19DD6058"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37,037 </w:t>
            </w:r>
          </w:p>
        </w:tc>
        <w:tc>
          <w:tcPr>
            <w:tcW w:w="1426" w:type="dxa"/>
            <w:vAlign w:val="top"/>
          </w:tcPr>
          <w:p w14:paraId="18267C5C" w14:textId="5CC5DB7F"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57,925 </w:t>
            </w:r>
          </w:p>
        </w:tc>
        <w:tc>
          <w:tcPr>
            <w:tcW w:w="1426" w:type="dxa"/>
            <w:vAlign w:val="top"/>
          </w:tcPr>
          <w:p w14:paraId="69D8F1CA" w14:textId="00BEF24A"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61,990 </w:t>
            </w:r>
          </w:p>
        </w:tc>
      </w:tr>
      <w:tr w:rsidR="00535B41" w:rsidRPr="002E2F4E" w14:paraId="782FFF1F"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7A2D983B" w14:textId="77777777" w:rsidR="00535B41" w:rsidRPr="002E2F4E" w:rsidRDefault="00535B41" w:rsidP="00535B41">
            <w:pPr>
              <w:keepNext/>
              <w:keepLines/>
              <w:jc w:val="left"/>
              <w:rPr>
                <w:rFonts w:ascii="Arial Narrow" w:hAnsi="Arial Narrow" w:cs="Calibri"/>
                <w:color w:val="000000"/>
              </w:rPr>
            </w:pPr>
            <w:r w:rsidRPr="002E2F4E">
              <w:rPr>
                <w:rFonts w:ascii="Arial Narrow" w:hAnsi="Arial Narrow" w:cs="Calibri"/>
                <w:sz w:val="20"/>
              </w:rPr>
              <w:t>Percent Savings</w:t>
            </w:r>
          </w:p>
        </w:tc>
        <w:tc>
          <w:tcPr>
            <w:tcW w:w="1426" w:type="dxa"/>
            <w:noWrap/>
            <w:vAlign w:val="top"/>
          </w:tcPr>
          <w:p w14:paraId="42360466" w14:textId="1659CA38"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0.53%</w:t>
            </w:r>
          </w:p>
        </w:tc>
        <w:tc>
          <w:tcPr>
            <w:tcW w:w="1426" w:type="dxa"/>
            <w:vAlign w:val="top"/>
          </w:tcPr>
          <w:p w14:paraId="463BCE41" w14:textId="0DAF8DFB"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0.20%</w:t>
            </w:r>
          </w:p>
        </w:tc>
        <w:tc>
          <w:tcPr>
            <w:tcW w:w="1426" w:type="dxa"/>
            <w:vAlign w:val="top"/>
          </w:tcPr>
          <w:p w14:paraId="2D53855D" w14:textId="7F368157"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0.11%</w:t>
            </w:r>
          </w:p>
        </w:tc>
      </w:tr>
      <w:tr w:rsidR="00535B41" w:rsidRPr="002E2F4E" w14:paraId="2C0214CB"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645B4D42" w14:textId="77777777" w:rsidR="00535B41" w:rsidRPr="002E2F4E" w:rsidRDefault="00535B41" w:rsidP="00535B41">
            <w:pPr>
              <w:keepNext/>
              <w:keepLines/>
              <w:jc w:val="left"/>
              <w:rPr>
                <w:rFonts w:ascii="Arial Narrow" w:hAnsi="Arial Narrow" w:cs="Calibri"/>
                <w:i/>
                <w:iCs/>
                <w:sz w:val="20"/>
              </w:rPr>
            </w:pPr>
            <w:r w:rsidRPr="002E2F4E">
              <w:rPr>
                <w:rFonts w:ascii="Arial Narrow" w:hAnsi="Arial Narrow" w:cs="Calibri"/>
                <w:i/>
                <w:iCs/>
                <w:sz w:val="20"/>
              </w:rPr>
              <w:t>Percent Savings Std. Err.</w:t>
            </w:r>
          </w:p>
        </w:tc>
        <w:tc>
          <w:tcPr>
            <w:tcW w:w="1426" w:type="dxa"/>
            <w:noWrap/>
            <w:vAlign w:val="top"/>
          </w:tcPr>
          <w:p w14:paraId="1DAFC6B4" w14:textId="30DC8F7B"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0.11%</w:t>
            </w:r>
          </w:p>
        </w:tc>
        <w:tc>
          <w:tcPr>
            <w:tcW w:w="1426" w:type="dxa"/>
            <w:vAlign w:val="top"/>
          </w:tcPr>
          <w:p w14:paraId="4801CCC1" w14:textId="18792220"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0.07%</w:t>
            </w:r>
          </w:p>
        </w:tc>
        <w:tc>
          <w:tcPr>
            <w:tcW w:w="1426" w:type="dxa"/>
            <w:vAlign w:val="top"/>
          </w:tcPr>
          <w:p w14:paraId="7B66A62D" w14:textId="0DB1FE27"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0.08%</w:t>
            </w:r>
          </w:p>
        </w:tc>
      </w:tr>
      <w:tr w:rsidR="00535B41" w:rsidRPr="002E2F4E" w14:paraId="4D96239A"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66E480BE" w14:textId="77777777"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Annualized Customer Savings, therms</w:t>
            </w:r>
            <w:r w:rsidRPr="002E2F4E">
              <w:rPr>
                <w:rFonts w:ascii="Calibri" w:hAnsi="Calibri" w:cs="Calibri"/>
                <w:sz w:val="20"/>
              </w:rPr>
              <w:t>†</w:t>
            </w:r>
          </w:p>
        </w:tc>
        <w:tc>
          <w:tcPr>
            <w:tcW w:w="1426" w:type="dxa"/>
            <w:noWrap/>
            <w:vAlign w:val="top"/>
          </w:tcPr>
          <w:p w14:paraId="672BE06C" w14:textId="5F095EBF"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8.08</w:t>
            </w:r>
          </w:p>
        </w:tc>
        <w:tc>
          <w:tcPr>
            <w:tcW w:w="1426" w:type="dxa"/>
            <w:vAlign w:val="top"/>
          </w:tcPr>
          <w:p w14:paraId="40A37CA7" w14:textId="0584B290"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2.06</w:t>
            </w:r>
          </w:p>
        </w:tc>
        <w:tc>
          <w:tcPr>
            <w:tcW w:w="1426" w:type="dxa"/>
            <w:vAlign w:val="top"/>
          </w:tcPr>
          <w:p w14:paraId="194D828D" w14:textId="2777E76B"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1.48</w:t>
            </w:r>
          </w:p>
        </w:tc>
      </w:tr>
      <w:tr w:rsidR="00535B41" w:rsidRPr="002E2F4E" w14:paraId="08EB0BCA"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13E0B69F" w14:textId="77777777" w:rsidR="00535B41" w:rsidRPr="002E2F4E" w:rsidRDefault="00535B41" w:rsidP="00535B41">
            <w:pPr>
              <w:keepNext/>
              <w:keepLines/>
              <w:jc w:val="left"/>
              <w:rPr>
                <w:rFonts w:ascii="Arial Narrow" w:hAnsi="Arial Narrow" w:cs="Calibri"/>
                <w:i/>
                <w:iCs/>
                <w:sz w:val="20"/>
              </w:rPr>
            </w:pPr>
            <w:r w:rsidRPr="002E2F4E">
              <w:rPr>
                <w:rFonts w:ascii="Arial Narrow" w:hAnsi="Arial Narrow" w:cs="Calibri"/>
                <w:i/>
                <w:iCs/>
                <w:sz w:val="20"/>
              </w:rPr>
              <w:t>Annualized Customer Savings Std. Err.</w:t>
            </w:r>
          </w:p>
        </w:tc>
        <w:tc>
          <w:tcPr>
            <w:tcW w:w="1426" w:type="dxa"/>
            <w:noWrap/>
            <w:vAlign w:val="top"/>
          </w:tcPr>
          <w:p w14:paraId="2ECAA5EA" w14:textId="189F9F47"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1.64</w:t>
            </w:r>
          </w:p>
        </w:tc>
        <w:tc>
          <w:tcPr>
            <w:tcW w:w="1426" w:type="dxa"/>
            <w:vAlign w:val="top"/>
          </w:tcPr>
          <w:p w14:paraId="0F303BB6" w14:textId="3EAE1B05"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0.72</w:t>
            </w:r>
          </w:p>
        </w:tc>
        <w:tc>
          <w:tcPr>
            <w:tcW w:w="1426" w:type="dxa"/>
            <w:vAlign w:val="top"/>
          </w:tcPr>
          <w:p w14:paraId="2F4BC5AB" w14:textId="572740F5"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1.04</w:t>
            </w:r>
          </w:p>
        </w:tc>
      </w:tr>
      <w:tr w:rsidR="00535B41" w:rsidRPr="002E2F4E" w14:paraId="2C4A7C98"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3C2FEF9E" w14:textId="77777777"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Net Savings Prior to Uplift, therms</w:t>
            </w:r>
          </w:p>
        </w:tc>
        <w:tc>
          <w:tcPr>
            <w:tcW w:w="1426" w:type="dxa"/>
            <w:noWrap/>
            <w:vAlign w:val="top"/>
          </w:tcPr>
          <w:p w14:paraId="160852D3" w14:textId="7E71EDB7"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1,001,139 </w:t>
            </w:r>
          </w:p>
        </w:tc>
        <w:tc>
          <w:tcPr>
            <w:tcW w:w="1426" w:type="dxa"/>
            <w:vAlign w:val="top"/>
          </w:tcPr>
          <w:p w14:paraId="753A5ED2" w14:textId="73B98FF2"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349,828 </w:t>
            </w:r>
          </w:p>
        </w:tc>
        <w:tc>
          <w:tcPr>
            <w:tcW w:w="1426" w:type="dxa"/>
            <w:vAlign w:val="top"/>
          </w:tcPr>
          <w:p w14:paraId="585E14A2" w14:textId="5670615F"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268,968 </w:t>
            </w:r>
          </w:p>
        </w:tc>
      </w:tr>
      <w:tr w:rsidR="00535B41" w:rsidRPr="002E2F4E" w14:paraId="00A018EA"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409AA2B8" w14:textId="77777777" w:rsidR="00535B41" w:rsidRPr="002E2F4E" w:rsidRDefault="00535B41" w:rsidP="00535B41">
            <w:pPr>
              <w:keepNext/>
              <w:keepLines/>
              <w:jc w:val="left"/>
              <w:rPr>
                <w:rFonts w:ascii="Arial Narrow" w:hAnsi="Arial Narrow" w:cs="Calibri"/>
                <w:i/>
                <w:iCs/>
                <w:sz w:val="20"/>
              </w:rPr>
            </w:pPr>
            <w:r w:rsidRPr="002E2F4E">
              <w:rPr>
                <w:rFonts w:ascii="Arial Narrow" w:hAnsi="Arial Narrow" w:cs="Calibri"/>
                <w:i/>
                <w:iCs/>
                <w:sz w:val="20"/>
              </w:rPr>
              <w:t>Net Savings Std. Err.</w:t>
            </w:r>
          </w:p>
        </w:tc>
        <w:tc>
          <w:tcPr>
            <w:tcW w:w="1426" w:type="dxa"/>
            <w:noWrap/>
            <w:vAlign w:val="top"/>
          </w:tcPr>
          <w:p w14:paraId="07613BF9" w14:textId="2F4D8703"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202,835 </w:t>
            </w:r>
          </w:p>
        </w:tc>
        <w:tc>
          <w:tcPr>
            <w:tcW w:w="1426" w:type="dxa"/>
            <w:vAlign w:val="top"/>
          </w:tcPr>
          <w:p w14:paraId="541E09E3" w14:textId="4C415A67"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121,579 </w:t>
            </w:r>
          </w:p>
        </w:tc>
        <w:tc>
          <w:tcPr>
            <w:tcW w:w="1426" w:type="dxa"/>
            <w:vAlign w:val="top"/>
          </w:tcPr>
          <w:p w14:paraId="38466BBE" w14:textId="6AB2F321"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188,646 </w:t>
            </w:r>
          </w:p>
        </w:tc>
      </w:tr>
      <w:tr w:rsidR="00535B41" w:rsidRPr="002E2F4E" w14:paraId="5BCE0565"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18E88806" w14:textId="6567AB5D"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2023 Uplift, therms</w:t>
            </w:r>
            <w:r w:rsidRPr="002E2F4E">
              <w:rPr>
                <w:rFonts w:ascii="Calibri" w:hAnsi="Calibri" w:cs="Calibri"/>
                <w:sz w:val="20"/>
              </w:rPr>
              <w:t>‡</w:t>
            </w:r>
          </w:p>
        </w:tc>
        <w:tc>
          <w:tcPr>
            <w:tcW w:w="1426" w:type="dxa"/>
            <w:noWrap/>
            <w:vAlign w:val="top"/>
          </w:tcPr>
          <w:p w14:paraId="2BB71ECE" w14:textId="4B89B42F"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12,536 </w:t>
            </w:r>
          </w:p>
        </w:tc>
        <w:tc>
          <w:tcPr>
            <w:tcW w:w="1426" w:type="dxa"/>
            <w:vAlign w:val="top"/>
          </w:tcPr>
          <w:p w14:paraId="614A021E" w14:textId="7CD23C9F"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24,645 </w:t>
            </w:r>
          </w:p>
        </w:tc>
        <w:tc>
          <w:tcPr>
            <w:tcW w:w="1426" w:type="dxa"/>
            <w:vAlign w:val="top"/>
          </w:tcPr>
          <w:p w14:paraId="2B2594E6" w14:textId="6A3EB8AE"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3,555 </w:t>
            </w:r>
          </w:p>
        </w:tc>
      </w:tr>
      <w:tr w:rsidR="00535B41" w:rsidRPr="002E2F4E" w14:paraId="054F00D3"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09B1E0FA" w14:textId="77777777"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Legacy Uplift, therms</w:t>
            </w:r>
            <w:r w:rsidRPr="002E2F4E">
              <w:rPr>
                <w:rFonts w:ascii="Calibri" w:hAnsi="Calibri" w:cs="Calibri"/>
                <w:sz w:val="20"/>
              </w:rPr>
              <w:t>‡</w:t>
            </w:r>
          </w:p>
        </w:tc>
        <w:tc>
          <w:tcPr>
            <w:tcW w:w="1426" w:type="dxa"/>
            <w:noWrap/>
            <w:vAlign w:val="top"/>
          </w:tcPr>
          <w:p w14:paraId="08109A8F" w14:textId="431AD701"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72,884 </w:t>
            </w:r>
          </w:p>
        </w:tc>
        <w:tc>
          <w:tcPr>
            <w:tcW w:w="1426" w:type="dxa"/>
            <w:vAlign w:val="top"/>
          </w:tcPr>
          <w:p w14:paraId="07F65004" w14:textId="77B71163"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85,649 </w:t>
            </w:r>
          </w:p>
        </w:tc>
        <w:tc>
          <w:tcPr>
            <w:tcW w:w="1426" w:type="dxa"/>
            <w:vAlign w:val="top"/>
          </w:tcPr>
          <w:p w14:paraId="00061B39" w14:textId="68E49578"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74,681 </w:t>
            </w:r>
          </w:p>
        </w:tc>
      </w:tr>
      <w:tr w:rsidR="00535B41" w:rsidRPr="002E2F4E" w14:paraId="258155CB"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42DF4B16" w14:textId="32A05EBE"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2023 Custom Savings Calculation</w:t>
            </w:r>
          </w:p>
        </w:tc>
        <w:tc>
          <w:tcPr>
            <w:tcW w:w="1426" w:type="dxa"/>
            <w:noWrap/>
            <w:vAlign w:val="top"/>
          </w:tcPr>
          <w:p w14:paraId="0B50677A" w14:textId="56063CD8"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915,718 </w:t>
            </w:r>
          </w:p>
        </w:tc>
        <w:tc>
          <w:tcPr>
            <w:tcW w:w="1426" w:type="dxa"/>
            <w:vAlign w:val="top"/>
          </w:tcPr>
          <w:p w14:paraId="33FB0E87" w14:textId="4858FE17"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239,534 </w:t>
            </w:r>
          </w:p>
        </w:tc>
        <w:tc>
          <w:tcPr>
            <w:tcW w:w="1426" w:type="dxa"/>
            <w:vAlign w:val="top"/>
          </w:tcPr>
          <w:p w14:paraId="269E647A" w14:textId="5D03ECFA"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190,732 </w:t>
            </w:r>
          </w:p>
        </w:tc>
      </w:tr>
      <w:tr w:rsidR="00535B41" w:rsidRPr="002E2F4E" w14:paraId="57C7B5A2" w14:textId="77777777" w:rsidTr="00C931E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6DC50C6F" w14:textId="77777777"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Savings Attributed to Prior Years§</w:t>
            </w:r>
          </w:p>
        </w:tc>
        <w:tc>
          <w:tcPr>
            <w:tcW w:w="1426" w:type="dxa"/>
            <w:noWrap/>
            <w:vAlign w:val="top"/>
          </w:tcPr>
          <w:p w14:paraId="3B7AE74D" w14:textId="74F6C890"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548,216 </w:t>
            </w:r>
          </w:p>
        </w:tc>
        <w:tc>
          <w:tcPr>
            <w:tcW w:w="1426" w:type="dxa"/>
            <w:vAlign w:val="top"/>
          </w:tcPr>
          <w:p w14:paraId="79010465" w14:textId="3A7944E8"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73,831 </w:t>
            </w:r>
          </w:p>
        </w:tc>
        <w:tc>
          <w:tcPr>
            <w:tcW w:w="1426" w:type="dxa"/>
            <w:vAlign w:val="top"/>
          </w:tcPr>
          <w:p w14:paraId="75083AE1" w14:textId="39FFB824" w:rsidR="00535B41" w:rsidRPr="002E2F4E"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203,522 </w:t>
            </w:r>
          </w:p>
        </w:tc>
      </w:tr>
      <w:tr w:rsidR="00535B41" w:rsidRPr="002E2F4E" w14:paraId="770C2673" w14:textId="77777777" w:rsidTr="00C931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64" w:type="dxa"/>
            <w:noWrap/>
          </w:tcPr>
          <w:p w14:paraId="238FF746" w14:textId="77777777" w:rsidR="00535B41" w:rsidRPr="002E2F4E" w:rsidRDefault="00535B41" w:rsidP="00535B41">
            <w:pPr>
              <w:keepNext/>
              <w:keepLines/>
              <w:jc w:val="left"/>
              <w:rPr>
                <w:rFonts w:ascii="Arial Narrow" w:hAnsi="Arial Narrow" w:cs="Calibri"/>
                <w:sz w:val="20"/>
              </w:rPr>
            </w:pPr>
            <w:r w:rsidRPr="002E2F4E">
              <w:rPr>
                <w:rFonts w:ascii="Arial Narrow" w:hAnsi="Arial Narrow" w:cs="Calibri"/>
                <w:sz w:val="20"/>
              </w:rPr>
              <w:t>Verified Net Savings, therms||</w:t>
            </w:r>
          </w:p>
        </w:tc>
        <w:tc>
          <w:tcPr>
            <w:tcW w:w="1426" w:type="dxa"/>
            <w:noWrap/>
            <w:vAlign w:val="top"/>
          </w:tcPr>
          <w:p w14:paraId="650DEFBA" w14:textId="40D25BFE"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367,502 </w:t>
            </w:r>
          </w:p>
        </w:tc>
        <w:tc>
          <w:tcPr>
            <w:tcW w:w="1426" w:type="dxa"/>
            <w:vAlign w:val="top"/>
          </w:tcPr>
          <w:p w14:paraId="5C1484E4" w14:textId="61200819"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165,703 </w:t>
            </w:r>
          </w:p>
        </w:tc>
        <w:tc>
          <w:tcPr>
            <w:tcW w:w="1426" w:type="dxa"/>
            <w:vAlign w:val="top"/>
          </w:tcPr>
          <w:p w14:paraId="62B28E5B" w14:textId="6EA40B42" w:rsidR="00535B41" w:rsidRPr="002E2F4E"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2E2F4E">
              <w:rPr>
                <w:rFonts w:ascii="Arial Narrow" w:hAnsi="Arial Narrow"/>
              </w:rPr>
              <w:t xml:space="preserve"> -12,790</w:t>
            </w:r>
          </w:p>
        </w:tc>
      </w:tr>
    </w:tbl>
    <w:bookmarkEnd w:id="77"/>
    <w:p w14:paraId="282C1179" w14:textId="77777777" w:rsidR="00CB29B0" w:rsidRDefault="00CB29B0" w:rsidP="002E2F4E">
      <w:pPr>
        <w:pStyle w:val="GraphFootnote"/>
        <w:ind w:left="360" w:right="990"/>
        <w:rPr>
          <w:rFonts w:ascii="Arial" w:hAnsi="Arial"/>
        </w:rPr>
      </w:pPr>
      <w:r>
        <w:t>* These counts are for active customers at the beginning of the evaluation period.</w:t>
      </w:r>
    </w:p>
    <w:p w14:paraId="3DA72700" w14:textId="77777777" w:rsidR="00CB29B0" w:rsidRDefault="00CB29B0" w:rsidP="002E2F4E">
      <w:pPr>
        <w:pStyle w:val="GraphFootnote"/>
        <w:ind w:left="360" w:right="990"/>
      </w:pPr>
      <w:r>
        <w:t>† Annualized savings are average daily savings multiplied by 365, however, total savings are pro-rated for participants that closed their accounts during the evaluation period.</w:t>
      </w:r>
    </w:p>
    <w:p w14:paraId="508FEEE2" w14:textId="77777777" w:rsidR="00CB29B0" w:rsidRDefault="00CB29B0" w:rsidP="002E2F4E">
      <w:pPr>
        <w:pStyle w:val="GraphFootnote"/>
        <w:ind w:left="360" w:right="990"/>
      </w:pPr>
      <w:r>
        <w:t>‡ No adjustment was made to total savings for negative uplift, (i.e., cases where the HER Program decreased participation in other programs).</w:t>
      </w:r>
    </w:p>
    <w:p w14:paraId="3CCC43AC" w14:textId="7ABCEB3E" w:rsidR="00CB29B0" w:rsidRDefault="00CB29B0" w:rsidP="002E2F4E">
      <w:pPr>
        <w:pStyle w:val="GraphFootnote"/>
        <w:ind w:left="360" w:right="990"/>
      </w:pPr>
      <w:r>
        <w:t>§ Savings attributed to prior years are those deducted for persistence from 2019, 2020, 2021</w:t>
      </w:r>
      <w:r w:rsidR="00523430">
        <w:t>, and 2022</w:t>
      </w:r>
      <w:r>
        <w:t xml:space="preserve"> within the IL-TRM framework. </w:t>
      </w:r>
    </w:p>
    <w:p w14:paraId="034CE2B9" w14:textId="3542F06E" w:rsidR="00CB29B0" w:rsidRDefault="00CB29B0" w:rsidP="002E2F4E">
      <w:pPr>
        <w:pStyle w:val="GraphFootnote"/>
        <w:ind w:left="360" w:right="990"/>
        <w:rPr>
          <w:i/>
        </w:rPr>
      </w:pPr>
      <w:r>
        <w:rPr>
          <w:rFonts w:ascii="Tahoma" w:hAnsi="Tahoma" w:cs="Tahoma"/>
          <w:color w:val="4C4C4C"/>
          <w:shd w:val="clear" w:color="auto" w:fill="FFFFFF"/>
        </w:rPr>
        <w:t>||</w:t>
      </w:r>
      <w:r>
        <w:t xml:space="preserve"> Verified Net Savings are equal to Net Savings, Prior to Uplift less 202</w:t>
      </w:r>
      <w:r w:rsidR="00523430">
        <w:t>3</w:t>
      </w:r>
      <w:r>
        <w:t xml:space="preserve"> Uplift, Legacy Uplift, and Savings Attributed to Prior Years.</w:t>
      </w:r>
    </w:p>
    <w:p w14:paraId="37A28064" w14:textId="77777777" w:rsidR="00CB29B0" w:rsidRPr="00D90F82" w:rsidRDefault="00CB29B0" w:rsidP="002E2F4E">
      <w:pPr>
        <w:pStyle w:val="Source"/>
        <w:ind w:left="360" w:right="990"/>
      </w:pPr>
      <w:r w:rsidRPr="0058712F">
        <w:t>Source: Guidehouse analysis of Nicor Gas program tracking and customer billing data.</w:t>
      </w:r>
      <w:r w:rsidRPr="00D90F82">
        <w:t xml:space="preserve"> </w:t>
      </w:r>
    </w:p>
    <w:p w14:paraId="7024441C" w14:textId="77777777" w:rsidR="00CB29B0" w:rsidRDefault="00CB29B0" w:rsidP="00CB29B0"/>
    <w:p w14:paraId="3A55D777" w14:textId="77777777" w:rsidR="00CB29B0" w:rsidRDefault="00CB29B0" w:rsidP="00CB29B0">
      <w:pPr>
        <w:sectPr w:rsidR="00CB29B0" w:rsidSect="00BB5E4D">
          <w:pgSz w:w="12240" w:h="15840" w:code="1"/>
          <w:pgMar w:top="1440" w:right="1440" w:bottom="1440" w:left="1440" w:header="720" w:footer="720" w:gutter="0"/>
          <w:pgNumType w:start="1" w:chapStyle="5"/>
          <w:cols w:space="720"/>
          <w:docGrid w:linePitch="360"/>
        </w:sectPr>
      </w:pPr>
    </w:p>
    <w:bookmarkStart w:id="78" w:name="_Hlk164683695"/>
    <w:bookmarkStart w:id="79" w:name="_Ref74319884"/>
    <w:p w14:paraId="0A37BC49" w14:textId="29C777B2" w:rsidR="00CB29B0" w:rsidRDefault="00FA03A3" w:rsidP="00CB29B0">
      <w:pPr>
        <w:keepNext/>
      </w:pPr>
      <w:r>
        <w:lastRenderedPageBreak/>
        <w:fldChar w:fldCharType="begin"/>
      </w:r>
      <w:r>
        <w:instrText xml:space="preserve"> REF _Ref164781004 \h </w:instrText>
      </w:r>
      <w:r>
        <w:fldChar w:fldCharType="separate"/>
      </w:r>
      <w:r w:rsidR="009428DA">
        <w:t xml:space="preserve">Figure </w:t>
      </w:r>
      <w:r w:rsidR="009428DA">
        <w:rPr>
          <w:noProof/>
        </w:rPr>
        <w:t>B</w:t>
      </w:r>
      <w:r w:rsidR="009428DA">
        <w:noBreakHyphen/>
      </w:r>
      <w:r w:rsidR="009428DA">
        <w:rPr>
          <w:noProof/>
        </w:rPr>
        <w:t>1</w:t>
      </w:r>
      <w:r>
        <w:fldChar w:fldCharType="end"/>
      </w:r>
      <w:r w:rsidR="00CB29B0">
        <w:t xml:space="preserve"> </w:t>
      </w:r>
      <w:r w:rsidR="002E2F4E">
        <w:t xml:space="preserve">to </w:t>
      </w:r>
      <w:r w:rsidR="002E2F4E">
        <w:fldChar w:fldCharType="begin"/>
      </w:r>
      <w:r w:rsidR="002E2F4E">
        <w:instrText xml:space="preserve"> REF _Ref164683605 \h </w:instrText>
      </w:r>
      <w:r w:rsidR="002E2F4E">
        <w:fldChar w:fldCharType="separate"/>
      </w:r>
      <w:r w:rsidR="009428DA">
        <w:t xml:space="preserve">Figure </w:t>
      </w:r>
      <w:r w:rsidR="009428DA">
        <w:rPr>
          <w:noProof/>
        </w:rPr>
        <w:t>B</w:t>
      </w:r>
      <w:r w:rsidR="009428DA">
        <w:noBreakHyphen/>
      </w:r>
      <w:r w:rsidR="009428DA">
        <w:rPr>
          <w:noProof/>
        </w:rPr>
        <w:t>3</w:t>
      </w:r>
      <w:r w:rsidR="002E2F4E">
        <w:fldChar w:fldCharType="end"/>
      </w:r>
      <w:r w:rsidR="002E2F4E">
        <w:t xml:space="preserve"> </w:t>
      </w:r>
      <w:r w:rsidR="00CB29B0" w:rsidRPr="00D90F82">
        <w:t>show</w:t>
      </w:r>
      <w:r w:rsidR="00CB29B0">
        <w:t xml:space="preserve"> </w:t>
      </w:r>
      <w:r w:rsidR="00CB29B0" w:rsidRPr="00D90F82">
        <w:t>energy savings with 90</w:t>
      </w:r>
      <w:r w:rsidR="00CB29B0">
        <w:t>%</w:t>
      </w:r>
      <w:r w:rsidR="00CB29B0" w:rsidRPr="00D90F82">
        <w:t xml:space="preserve"> confidence intervals</w:t>
      </w:r>
      <w:r w:rsidR="002E2F4E">
        <w:t xml:space="preserve"> for Waves 1, 2, and 3, respectively</w:t>
      </w:r>
      <w:r w:rsidR="00CB29B0" w:rsidRPr="00D90F82">
        <w:t xml:space="preserve">. </w:t>
      </w:r>
    </w:p>
    <w:bookmarkEnd w:id="78"/>
    <w:p w14:paraId="173EFE02" w14:textId="77777777" w:rsidR="00CB29B0" w:rsidRPr="00D73F6D" w:rsidRDefault="00CB29B0" w:rsidP="00CB29B0"/>
    <w:p w14:paraId="0DA4014F" w14:textId="098AB582" w:rsidR="00237ED4" w:rsidRDefault="00237ED4" w:rsidP="00237ED4">
      <w:pPr>
        <w:pStyle w:val="Caption"/>
      </w:pPr>
      <w:bookmarkStart w:id="80" w:name="_Ref164781004"/>
      <w:bookmarkStart w:id="81" w:name="_Toc165318803"/>
      <w:bookmarkEnd w:id="79"/>
      <w:r>
        <w:t xml:space="preserve">Figure </w:t>
      </w:r>
      <w:fldSimple w:instr=" STYLEREF 5 \s ">
        <w:r w:rsidR="009428DA">
          <w:rPr>
            <w:noProof/>
          </w:rPr>
          <w:t>B</w:t>
        </w:r>
      </w:fldSimple>
      <w:r>
        <w:noBreakHyphen/>
      </w:r>
      <w:fldSimple w:instr=" SEQ Figure \* ARABIC \s 5 ">
        <w:r w:rsidR="009428DA">
          <w:rPr>
            <w:noProof/>
          </w:rPr>
          <w:t>1</w:t>
        </w:r>
      </w:fldSimple>
      <w:bookmarkEnd w:id="80"/>
      <w:r>
        <w:t xml:space="preserve">. </w:t>
      </w:r>
      <w:r w:rsidRPr="00FB546C">
        <w:t>2023 Percent Savings and 90% Confidence Interval, Wave 1</w:t>
      </w:r>
      <w:bookmarkEnd w:id="81"/>
    </w:p>
    <w:p w14:paraId="43854EB6" w14:textId="43E643C4" w:rsidR="00237ED4" w:rsidRDefault="00B73AA1" w:rsidP="00237ED4">
      <w:pPr>
        <w:pStyle w:val="Caption"/>
      </w:pPr>
      <w:r>
        <w:rPr>
          <w:noProof/>
        </w:rPr>
        <w:drawing>
          <wp:inline distT="0" distB="0" distL="0" distR="0" wp14:anchorId="4DAA0560" wp14:editId="2130D07E">
            <wp:extent cx="7635240" cy="3181350"/>
            <wp:effectExtent l="0" t="0" r="3810" b="0"/>
            <wp:docPr id="5" name="Picture 5" descr="A graph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green lines&#10;&#10;Description automatically generated"/>
                    <pic:cNvPicPr/>
                  </pic:nvPicPr>
                  <pic:blipFill>
                    <a:blip r:embed="rId18"/>
                    <a:stretch>
                      <a:fillRect/>
                    </a:stretch>
                  </pic:blipFill>
                  <pic:spPr>
                    <a:xfrm>
                      <a:off x="0" y="0"/>
                      <a:ext cx="7635240" cy="3181350"/>
                    </a:xfrm>
                    <a:prstGeom prst="rect">
                      <a:avLst/>
                    </a:prstGeom>
                  </pic:spPr>
                </pic:pic>
              </a:graphicData>
            </a:graphic>
          </wp:inline>
        </w:drawing>
      </w:r>
    </w:p>
    <w:p w14:paraId="219CEDD4" w14:textId="77777777" w:rsidR="00237ED4" w:rsidRPr="002F7B93" w:rsidRDefault="00237ED4" w:rsidP="00237ED4">
      <w:pPr>
        <w:ind w:firstLine="360"/>
        <w:rPr>
          <w:i/>
          <w:sz w:val="18"/>
          <w:szCs w:val="18"/>
        </w:rPr>
      </w:pPr>
      <w:r w:rsidRPr="002F7B93">
        <w:rPr>
          <w:i/>
          <w:sz w:val="18"/>
          <w:szCs w:val="18"/>
        </w:rPr>
        <w:t>Source: Guidehouse analysis of Nicor Gas program tracking and customer billing data.</w:t>
      </w:r>
    </w:p>
    <w:p w14:paraId="2DAD1A7D" w14:textId="77777777" w:rsidR="00237ED4" w:rsidRPr="00237ED4" w:rsidRDefault="00237ED4" w:rsidP="00237ED4"/>
    <w:p w14:paraId="25FBFAEA" w14:textId="7079A333" w:rsidR="00237ED4" w:rsidRDefault="00237ED4" w:rsidP="00237ED4">
      <w:pPr>
        <w:keepNext/>
      </w:pPr>
    </w:p>
    <w:p w14:paraId="49A00078" w14:textId="2209CD01" w:rsidR="00237ED4" w:rsidRDefault="00237ED4" w:rsidP="00237ED4">
      <w:pPr>
        <w:pStyle w:val="Caption"/>
      </w:pPr>
      <w:bookmarkStart w:id="82" w:name="_Ref164683591"/>
      <w:bookmarkStart w:id="83" w:name="_Toc165318804"/>
      <w:r>
        <w:t xml:space="preserve">Figure </w:t>
      </w:r>
      <w:fldSimple w:instr=" STYLEREF 5 \s ">
        <w:r w:rsidR="009428DA">
          <w:rPr>
            <w:noProof/>
          </w:rPr>
          <w:t>B</w:t>
        </w:r>
      </w:fldSimple>
      <w:r>
        <w:noBreakHyphen/>
      </w:r>
      <w:fldSimple w:instr=" SEQ Figure \* ARABIC \s 5 ">
        <w:r w:rsidR="009428DA">
          <w:rPr>
            <w:noProof/>
          </w:rPr>
          <w:t>2</w:t>
        </w:r>
      </w:fldSimple>
      <w:bookmarkEnd w:id="82"/>
      <w:r>
        <w:t>.</w:t>
      </w:r>
      <w:r w:rsidRPr="00237ED4">
        <w:t xml:space="preserve"> </w:t>
      </w:r>
      <w:r>
        <w:t>2023 Percent Savings and 90% Confidence Interval, Wave 2</w:t>
      </w:r>
      <w:bookmarkEnd w:id="83"/>
    </w:p>
    <w:p w14:paraId="75FBE8D9" w14:textId="77777777" w:rsidR="00237ED4" w:rsidRDefault="00B73AA1" w:rsidP="00237ED4">
      <w:pPr>
        <w:pStyle w:val="Caption"/>
      </w:pPr>
      <w:r>
        <w:rPr>
          <w:noProof/>
        </w:rPr>
        <w:drawing>
          <wp:inline distT="0" distB="0" distL="0" distR="0" wp14:anchorId="3805216E" wp14:editId="4DF0C3B7">
            <wp:extent cx="7498080" cy="3124200"/>
            <wp:effectExtent l="0" t="0" r="7620" b="0"/>
            <wp:docPr id="6" name="Picture 6" descr="A graph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green lines&#10;&#10;Description automatically generated"/>
                    <pic:cNvPicPr/>
                  </pic:nvPicPr>
                  <pic:blipFill>
                    <a:blip r:embed="rId19"/>
                    <a:stretch>
                      <a:fillRect/>
                    </a:stretch>
                  </pic:blipFill>
                  <pic:spPr>
                    <a:xfrm>
                      <a:off x="0" y="0"/>
                      <a:ext cx="7498080" cy="3124200"/>
                    </a:xfrm>
                    <a:prstGeom prst="rect">
                      <a:avLst/>
                    </a:prstGeom>
                  </pic:spPr>
                </pic:pic>
              </a:graphicData>
            </a:graphic>
          </wp:inline>
        </w:drawing>
      </w:r>
    </w:p>
    <w:p w14:paraId="73C1B86B" w14:textId="77777777" w:rsidR="00237ED4" w:rsidRPr="002F7B93" w:rsidRDefault="00237ED4" w:rsidP="00237ED4">
      <w:pPr>
        <w:ind w:firstLine="360"/>
        <w:rPr>
          <w:i/>
          <w:sz w:val="18"/>
          <w:szCs w:val="18"/>
        </w:rPr>
      </w:pPr>
      <w:r w:rsidRPr="002F7B93">
        <w:rPr>
          <w:i/>
          <w:sz w:val="18"/>
          <w:szCs w:val="18"/>
        </w:rPr>
        <w:t>Source: Guidehouse analysis of Nicor Gas program tracking and customer billing data.</w:t>
      </w:r>
    </w:p>
    <w:p w14:paraId="0939C916" w14:textId="77777777" w:rsidR="00237ED4" w:rsidRPr="00237ED4" w:rsidRDefault="00237ED4" w:rsidP="00237ED4"/>
    <w:p w14:paraId="245C0A01" w14:textId="6E6CA006" w:rsidR="00237ED4" w:rsidRDefault="00237ED4" w:rsidP="00237ED4">
      <w:pPr>
        <w:pStyle w:val="Caption"/>
      </w:pPr>
      <w:bookmarkStart w:id="84" w:name="_Ref164683605"/>
      <w:bookmarkStart w:id="85" w:name="_Toc165318805"/>
      <w:r>
        <w:lastRenderedPageBreak/>
        <w:t xml:space="preserve">Figure </w:t>
      </w:r>
      <w:fldSimple w:instr=" STYLEREF 5 \s ">
        <w:r w:rsidR="009428DA">
          <w:rPr>
            <w:noProof/>
          </w:rPr>
          <w:t>B</w:t>
        </w:r>
      </w:fldSimple>
      <w:r>
        <w:noBreakHyphen/>
      </w:r>
      <w:fldSimple w:instr=" SEQ Figure \* ARABIC \s 5 ">
        <w:r w:rsidR="009428DA">
          <w:rPr>
            <w:noProof/>
          </w:rPr>
          <w:t>3</w:t>
        </w:r>
      </w:fldSimple>
      <w:bookmarkEnd w:id="84"/>
      <w:r>
        <w:t xml:space="preserve">. </w:t>
      </w:r>
      <w:r w:rsidRPr="006A10EC">
        <w:t>2023 Percent Savings and 90% Confidence Interval,</w:t>
      </w:r>
      <w:r>
        <w:t xml:space="preserve"> Wave 3</w:t>
      </w:r>
      <w:bookmarkEnd w:id="85"/>
    </w:p>
    <w:p w14:paraId="216829C0" w14:textId="20F0AFCE" w:rsidR="00B73AA1" w:rsidRPr="00B73AA1" w:rsidRDefault="00B73AA1" w:rsidP="00B73AA1">
      <w:pPr>
        <w:pStyle w:val="Caption"/>
      </w:pPr>
      <w:r>
        <w:rPr>
          <w:noProof/>
        </w:rPr>
        <w:drawing>
          <wp:inline distT="0" distB="0" distL="0" distR="0" wp14:anchorId="691D151D" wp14:editId="6044D8A9">
            <wp:extent cx="7505700" cy="3127375"/>
            <wp:effectExtent l="0" t="0" r="0" b="0"/>
            <wp:docPr id="7" name="Picture 7" descr="A graph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green dots&#10;&#10;Description automatically generated"/>
                    <pic:cNvPicPr/>
                  </pic:nvPicPr>
                  <pic:blipFill>
                    <a:blip r:embed="rId20"/>
                    <a:stretch>
                      <a:fillRect/>
                    </a:stretch>
                  </pic:blipFill>
                  <pic:spPr>
                    <a:xfrm>
                      <a:off x="0" y="0"/>
                      <a:ext cx="7518034" cy="3132514"/>
                    </a:xfrm>
                    <a:prstGeom prst="rect">
                      <a:avLst/>
                    </a:prstGeom>
                  </pic:spPr>
                </pic:pic>
              </a:graphicData>
            </a:graphic>
          </wp:inline>
        </w:drawing>
      </w:r>
    </w:p>
    <w:p w14:paraId="14EC8E3F" w14:textId="77777777" w:rsidR="00B73AA1" w:rsidRPr="00B73AA1" w:rsidRDefault="00B73AA1" w:rsidP="00B73AA1"/>
    <w:p w14:paraId="676BC147" w14:textId="77777777" w:rsidR="00B73AA1" w:rsidRPr="00B73AA1" w:rsidRDefault="00B73AA1" w:rsidP="00B73AA1"/>
    <w:p w14:paraId="21D2B980" w14:textId="77777777" w:rsidR="00CB29B0" w:rsidRPr="002F7B93" w:rsidRDefault="00CB29B0" w:rsidP="00CB29B0">
      <w:pPr>
        <w:ind w:firstLine="360"/>
        <w:rPr>
          <w:i/>
          <w:sz w:val="18"/>
          <w:szCs w:val="18"/>
        </w:rPr>
      </w:pPr>
      <w:r w:rsidRPr="002F7B93">
        <w:rPr>
          <w:i/>
          <w:sz w:val="18"/>
          <w:szCs w:val="18"/>
        </w:rPr>
        <w:t>Source: Guidehouse analysis of Nicor Gas program tracking and customer billing data.</w:t>
      </w:r>
    </w:p>
    <w:p w14:paraId="2C2328E3" w14:textId="77777777" w:rsidR="00CB29B0" w:rsidRDefault="00CB29B0" w:rsidP="00CB29B0">
      <w:pPr>
        <w:sectPr w:rsidR="00CB29B0" w:rsidSect="00BB5E4D">
          <w:pgSz w:w="15840" w:h="12240" w:orient="landscape" w:code="1"/>
          <w:pgMar w:top="1440" w:right="1440" w:bottom="1440" w:left="1440" w:header="720" w:footer="720" w:gutter="0"/>
          <w:pgNumType w:chapStyle="5"/>
          <w:cols w:space="720"/>
          <w:docGrid w:linePitch="360"/>
        </w:sectPr>
      </w:pPr>
    </w:p>
    <w:p w14:paraId="5BE44795" w14:textId="77777777" w:rsidR="00CB29B0" w:rsidRDefault="00CB29B0" w:rsidP="00CB29B0">
      <w:pPr>
        <w:pStyle w:val="Heading6"/>
      </w:pPr>
      <w:bookmarkStart w:id="86" w:name="_Toc110421334"/>
      <w:bookmarkStart w:id="87" w:name="_Toc132900794"/>
      <w:bookmarkStart w:id="88" w:name="_Toc137824766"/>
      <w:bookmarkStart w:id="89" w:name="_Toc165145396"/>
      <w:r>
        <w:lastRenderedPageBreak/>
        <w:t>Uplift Analysis Results</w:t>
      </w:r>
      <w:bookmarkEnd w:id="86"/>
      <w:bookmarkEnd w:id="87"/>
      <w:bookmarkEnd w:id="88"/>
      <w:bookmarkEnd w:id="89"/>
    </w:p>
    <w:p w14:paraId="5F9B0508" w14:textId="69BF2F13" w:rsidR="00CB29B0" w:rsidRDefault="00CB29B0" w:rsidP="00CB29B0">
      <w:pPr>
        <w:pStyle w:val="BodyText"/>
      </w:pPr>
      <w:r>
        <w:t>This section summarizes 202</w:t>
      </w:r>
      <w:r w:rsidR="0036738B">
        <w:t>3</w:t>
      </w:r>
      <w:r>
        <w:t xml:space="preserve"> uplift results. The uplift of savings in other EE programs was </w:t>
      </w:r>
      <w:r w:rsidR="00F66CA7">
        <w:t>195,714</w:t>
      </w:r>
      <w:r w:rsidRPr="00776467">
        <w:t xml:space="preserve"> therms, or </w:t>
      </w:r>
      <w:r w:rsidRPr="00787CC3">
        <w:t>approximately 1</w:t>
      </w:r>
      <w:r w:rsidR="00F66CA7" w:rsidRPr="00787CC3">
        <w:t>4</w:t>
      </w:r>
      <w:r w:rsidRPr="00787CC3">
        <w:t>% of total savings</w:t>
      </w:r>
      <w:r w:rsidR="002E2F4E" w:rsidRPr="00787CC3">
        <w:t>; this value only includes uplift for Waves 1 and 2</w:t>
      </w:r>
      <w:r w:rsidR="002008DA">
        <w:t>,</w:t>
      </w:r>
      <w:r w:rsidR="002E2F4E" w:rsidRPr="00787CC3">
        <w:t xml:space="preserve"> as Wave 3 did not have any claimable savings and thus no uplift adjustment was applied</w:t>
      </w:r>
      <w:r w:rsidRPr="00787CC3">
        <w:t>. The uplift can be broken down into uplift in 202</w:t>
      </w:r>
      <w:r w:rsidR="00535B41" w:rsidRPr="00787CC3">
        <w:t>3</w:t>
      </w:r>
      <w:r w:rsidRPr="00787CC3">
        <w:t xml:space="preserve"> and legacy uplift from previous program years. The 202</w:t>
      </w:r>
      <w:r w:rsidR="0036738B" w:rsidRPr="00787CC3">
        <w:t>3</w:t>
      </w:r>
      <w:r w:rsidRPr="00787CC3">
        <w:t xml:space="preserve"> uplift was </w:t>
      </w:r>
      <w:r w:rsidR="00237ED4" w:rsidRPr="00787CC3">
        <w:t>37</w:t>
      </w:r>
      <w:r w:rsidR="00535B41" w:rsidRPr="00787CC3">
        <w:t>,</w:t>
      </w:r>
      <w:r w:rsidR="00237ED4" w:rsidRPr="00787CC3">
        <w:t>181</w:t>
      </w:r>
      <w:r w:rsidRPr="00787CC3">
        <w:t xml:space="preserve"> therms or </w:t>
      </w:r>
      <w:r w:rsidR="00F66CA7" w:rsidRPr="00787CC3">
        <w:t>3</w:t>
      </w:r>
      <w:r w:rsidRPr="00787CC3">
        <w:t xml:space="preserve">% of total program savings, and the legacy uplift was </w:t>
      </w:r>
      <w:r w:rsidR="00F66CA7" w:rsidRPr="00787CC3">
        <w:t>158,533</w:t>
      </w:r>
      <w:r w:rsidRPr="00787CC3">
        <w:t xml:space="preserve"> therms or </w:t>
      </w:r>
      <w:r w:rsidR="00535B41" w:rsidRPr="00787CC3">
        <w:t>1</w:t>
      </w:r>
      <w:r w:rsidR="00F66CA7" w:rsidRPr="00787CC3">
        <w:t>2</w:t>
      </w:r>
      <w:r w:rsidRPr="00787CC3">
        <w:t>% of total program savings. The relatively large portion of savings double counted with other Nicor Gas EE programs suggests</w:t>
      </w:r>
      <w:r>
        <w:t xml:space="preserve"> that the home energy reports are doing a good job of channeling customers into other EE programs.</w:t>
      </w:r>
    </w:p>
    <w:p w14:paraId="3C16EABC" w14:textId="182D6BE7" w:rsidR="00F66CA7" w:rsidRDefault="00237ED4" w:rsidP="00F66CA7">
      <w:pPr>
        <w:keepNext/>
        <w:keepLines/>
      </w:pPr>
      <w:r>
        <w:fldChar w:fldCharType="begin"/>
      </w:r>
      <w:r>
        <w:instrText xml:space="preserve"> REF _Ref164683041 \h </w:instrText>
      </w:r>
      <w:r>
        <w:fldChar w:fldCharType="separate"/>
      </w:r>
      <w:r w:rsidR="00571E01">
        <w:t xml:space="preserve">Table </w:t>
      </w:r>
      <w:r w:rsidR="00571E01">
        <w:rPr>
          <w:noProof/>
        </w:rPr>
        <w:t>B</w:t>
      </w:r>
      <w:r w:rsidR="00571E01">
        <w:noBreakHyphen/>
      </w:r>
      <w:r w:rsidR="00571E01">
        <w:rPr>
          <w:noProof/>
        </w:rPr>
        <w:t>2</w:t>
      </w:r>
      <w:r>
        <w:fldChar w:fldCharType="end"/>
      </w:r>
      <w:r>
        <w:t xml:space="preserve">, </w:t>
      </w:r>
      <w:r>
        <w:fldChar w:fldCharType="begin"/>
      </w:r>
      <w:r>
        <w:instrText xml:space="preserve"> REF _Ref164683043 \h </w:instrText>
      </w:r>
      <w:r>
        <w:fldChar w:fldCharType="separate"/>
      </w:r>
      <w:r w:rsidR="00571E01">
        <w:t xml:space="preserve">Table </w:t>
      </w:r>
      <w:r w:rsidR="00571E01">
        <w:rPr>
          <w:noProof/>
        </w:rPr>
        <w:t>B</w:t>
      </w:r>
      <w:r w:rsidR="00571E01">
        <w:noBreakHyphen/>
      </w:r>
      <w:r w:rsidR="00571E01">
        <w:rPr>
          <w:noProof/>
        </w:rPr>
        <w:t>3</w:t>
      </w:r>
      <w:r>
        <w:fldChar w:fldCharType="end"/>
      </w:r>
      <w:r>
        <w:t xml:space="preserve">, and </w:t>
      </w:r>
      <w:r>
        <w:fldChar w:fldCharType="begin"/>
      </w:r>
      <w:r>
        <w:instrText xml:space="preserve"> REF _Ref164683044 \h </w:instrText>
      </w:r>
      <w:r>
        <w:fldChar w:fldCharType="separate"/>
      </w:r>
      <w:r w:rsidR="00571E01">
        <w:t xml:space="preserve">Table </w:t>
      </w:r>
      <w:r w:rsidR="00571E01">
        <w:rPr>
          <w:noProof/>
        </w:rPr>
        <w:t>B</w:t>
      </w:r>
      <w:r w:rsidR="00571E01">
        <w:noBreakHyphen/>
      </w:r>
      <w:r w:rsidR="00571E01">
        <w:rPr>
          <w:noProof/>
        </w:rPr>
        <w:t>4</w:t>
      </w:r>
      <w:r>
        <w:fldChar w:fldCharType="end"/>
      </w:r>
      <w:r>
        <w:t xml:space="preserve"> present </w:t>
      </w:r>
      <w:r w:rsidR="00CB29B0" w:rsidRPr="009A0BD2">
        <w:t xml:space="preserve">program savings due to participation in other EE programs in </w:t>
      </w:r>
      <w:r w:rsidR="00CB29B0">
        <w:t>202</w:t>
      </w:r>
      <w:r w:rsidR="0036738B">
        <w:t>3</w:t>
      </w:r>
      <w:r w:rsidR="00CB29B0">
        <w:t xml:space="preserve"> for each of the HER program waves</w:t>
      </w:r>
      <w:r w:rsidR="00CB29B0" w:rsidRPr="009A0BD2">
        <w:t xml:space="preserve">. Each </w:t>
      </w:r>
      <w:r w:rsidR="00CB29B0">
        <w:t>column provides information on one</w:t>
      </w:r>
      <w:r w:rsidR="00CB29B0" w:rsidRPr="009A0BD2">
        <w:t xml:space="preserve"> of </w:t>
      </w:r>
      <w:r w:rsidR="00CB29B0">
        <w:t>five</w:t>
      </w:r>
      <w:r w:rsidR="00CB29B0" w:rsidRPr="009A0BD2">
        <w:t xml:space="preserve"> EE Programs for which estimates for deemed savings are available</w:t>
      </w:r>
      <w:r w:rsidR="00CB29B0">
        <w:t>.</w:t>
      </w:r>
      <w:r w:rsidR="00CB29B0">
        <w:rPr>
          <w:rStyle w:val="FootnoteReference"/>
        </w:rPr>
        <w:footnoteReference w:id="17"/>
      </w:r>
      <w:r w:rsidR="00CB29B0" w:rsidRPr="009A0BD2">
        <w:t xml:space="preserve"> While </w:t>
      </w:r>
      <w:r w:rsidR="00CB29B0">
        <w:t>these</w:t>
      </w:r>
      <w:r w:rsidR="00CB29B0" w:rsidRPr="009A0BD2">
        <w:t xml:space="preserve"> table</w:t>
      </w:r>
      <w:r w:rsidR="00CB29B0">
        <w:t>s</w:t>
      </w:r>
      <w:r w:rsidR="00CB29B0" w:rsidRPr="009A0BD2">
        <w:t xml:space="preserve"> show estimates of both positive and negative uplift, only positive values were used to adjust program savings for double counting. For all cases where the EE program did not exist in the pre-program year, the estimate is based on a </w:t>
      </w:r>
      <w:r w:rsidR="00CB29B0">
        <w:t>probability of detection (POD)</w:t>
      </w:r>
      <w:r w:rsidR="00CB29B0" w:rsidRPr="009A0BD2">
        <w:t xml:space="preserve"> statistic; otherwise, it is based on a </w:t>
      </w:r>
      <w:r w:rsidR="00CB29B0">
        <w:t>DID</w:t>
      </w:r>
      <w:r w:rsidR="00CB29B0" w:rsidRPr="009A0BD2">
        <w:t xml:space="preserve"> statistic.</w:t>
      </w:r>
      <w:r w:rsidR="00CB29B0" w:rsidRPr="009A0BD2">
        <w:rPr>
          <w:rStyle w:val="FootnoteReference"/>
        </w:rPr>
        <w:footnoteReference w:id="18"/>
      </w:r>
      <w:r>
        <w:t xml:space="preserve"> </w:t>
      </w:r>
      <w:r w:rsidRPr="00237ED4">
        <w:t>Note that savings for Wave 3 were not statistically significant</w:t>
      </w:r>
      <w:r w:rsidR="00D6505F">
        <w:t>,</w:t>
      </w:r>
      <w:r w:rsidRPr="00237ED4">
        <w:t xml:space="preserve"> resulting in no claimable CY2023 savings</w:t>
      </w:r>
      <w:r w:rsidR="00F66CA7">
        <w:t xml:space="preserve"> and thus no uplift adjustment</w:t>
      </w:r>
      <w:r w:rsidRPr="00237ED4">
        <w:t>; numbers</w:t>
      </w:r>
      <w:r>
        <w:t xml:space="preserve"> in </w:t>
      </w:r>
      <w:r>
        <w:fldChar w:fldCharType="begin"/>
      </w:r>
      <w:r>
        <w:instrText xml:space="preserve"> REF _Ref164683044 \h </w:instrText>
      </w:r>
      <w:r>
        <w:fldChar w:fldCharType="separate"/>
      </w:r>
      <w:r w:rsidR="009428DA">
        <w:t xml:space="preserve">Table </w:t>
      </w:r>
      <w:r w:rsidR="009428DA">
        <w:rPr>
          <w:noProof/>
        </w:rPr>
        <w:t>B</w:t>
      </w:r>
      <w:r w:rsidR="009428DA">
        <w:noBreakHyphen/>
      </w:r>
      <w:r w:rsidR="009428DA">
        <w:rPr>
          <w:noProof/>
        </w:rPr>
        <w:t>4</w:t>
      </w:r>
      <w:r>
        <w:fldChar w:fldCharType="end"/>
      </w:r>
      <w:r>
        <w:t xml:space="preserve"> </w:t>
      </w:r>
      <w:r w:rsidRPr="00237ED4">
        <w:t xml:space="preserve">show </w:t>
      </w:r>
      <w:proofErr w:type="spellStart"/>
      <w:r w:rsidRPr="00237ED4">
        <w:t>Guidehouse’s</w:t>
      </w:r>
      <w:proofErr w:type="spellEnd"/>
      <w:r w:rsidRPr="00237ED4">
        <w:t xml:space="preserve"> estimated </w:t>
      </w:r>
      <w:r w:rsidR="00F66CA7">
        <w:t>uplift</w:t>
      </w:r>
      <w:r w:rsidR="00F66CA7" w:rsidRPr="00237ED4">
        <w:t xml:space="preserve"> </w:t>
      </w:r>
      <w:r w:rsidRPr="00237ED4">
        <w:t xml:space="preserve">for reference even though </w:t>
      </w:r>
      <w:r w:rsidR="00F66CA7">
        <w:t>it is not feeding into claimed savings</w:t>
      </w:r>
      <w:r w:rsidRPr="00237ED4">
        <w:t xml:space="preserve">. </w:t>
      </w:r>
    </w:p>
    <w:p w14:paraId="36AD583B" w14:textId="278B4382" w:rsidR="00237ED4" w:rsidRDefault="00237ED4" w:rsidP="00237ED4">
      <w:pPr>
        <w:pStyle w:val="Caption"/>
      </w:pPr>
    </w:p>
    <w:p w14:paraId="3B0412AE" w14:textId="4B3EAA45" w:rsidR="00237ED4" w:rsidRDefault="00571E01" w:rsidP="00237ED4">
      <w:pPr>
        <w:pStyle w:val="Caption"/>
      </w:pPr>
      <w:bookmarkStart w:id="90" w:name="_Ref164683041"/>
      <w:bookmarkStart w:id="91" w:name="_Toc165318884"/>
      <w:r>
        <w:t xml:space="preserve">Table </w:t>
      </w:r>
      <w:r w:rsidR="00372B72">
        <w:fldChar w:fldCharType="begin"/>
      </w:r>
      <w:r w:rsidR="00372B72">
        <w:instrText xml:space="preserve"> STYLEREF 5 \s </w:instrText>
      </w:r>
      <w:r w:rsidR="00372B72">
        <w:fldChar w:fldCharType="separate"/>
      </w:r>
      <w:r>
        <w:rPr>
          <w:noProof/>
        </w:rPr>
        <w:t>B</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Pr>
          <w:noProof/>
        </w:rPr>
        <w:t>2</w:t>
      </w:r>
      <w:r w:rsidR="00372B72">
        <w:rPr>
          <w:noProof/>
        </w:rPr>
        <w:fldChar w:fldCharType="end"/>
      </w:r>
      <w:bookmarkEnd w:id="90"/>
      <w:r>
        <w:t xml:space="preserve">. </w:t>
      </w:r>
      <w:r w:rsidR="00237ED4" w:rsidRPr="009D620D">
        <w:t>2023 Uplift Adjustment Details, Wave 1</w:t>
      </w:r>
      <w:bookmarkEnd w:id="91"/>
    </w:p>
    <w:tbl>
      <w:tblPr>
        <w:tblStyle w:val="EnergyTable1"/>
        <w:tblW w:w="9270" w:type="dxa"/>
        <w:tblLook w:val="04A0" w:firstRow="1" w:lastRow="0" w:firstColumn="1" w:lastColumn="0" w:noHBand="0" w:noVBand="1"/>
      </w:tblPr>
      <w:tblGrid>
        <w:gridCol w:w="5544"/>
        <w:gridCol w:w="919"/>
        <w:gridCol w:w="919"/>
        <w:gridCol w:w="919"/>
        <w:gridCol w:w="969"/>
      </w:tblGrid>
      <w:tr w:rsidR="00CB29B0" w:rsidRPr="007F1322" w14:paraId="1280BE50" w14:textId="77777777" w:rsidTr="005161A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0E2CCB94" w14:textId="77777777" w:rsidR="00CB29B0" w:rsidRPr="007210AD" w:rsidRDefault="00CB29B0" w:rsidP="00757E7A">
            <w:pPr>
              <w:keepNext/>
              <w:keepLines/>
              <w:jc w:val="left"/>
              <w:rPr>
                <w:rFonts w:ascii="Arial Narrow" w:hAnsi="Arial Narrow" w:cs="Calibri"/>
              </w:rPr>
            </w:pPr>
            <w:r w:rsidRPr="007210AD">
              <w:rPr>
                <w:rFonts w:ascii="Arial Narrow" w:hAnsi="Arial Narrow" w:cs="Calibri"/>
              </w:rPr>
              <w:t>Program</w:t>
            </w:r>
          </w:p>
        </w:tc>
        <w:tc>
          <w:tcPr>
            <w:tcW w:w="0" w:type="auto"/>
            <w:noWrap/>
            <w:hideMark/>
          </w:tcPr>
          <w:p w14:paraId="678AA689"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ESK</w:t>
            </w:r>
          </w:p>
        </w:tc>
        <w:tc>
          <w:tcPr>
            <w:tcW w:w="0" w:type="auto"/>
            <w:noWrap/>
            <w:hideMark/>
          </w:tcPr>
          <w:p w14:paraId="4D23B155"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HEER</w:t>
            </w:r>
          </w:p>
        </w:tc>
        <w:tc>
          <w:tcPr>
            <w:tcW w:w="0" w:type="auto"/>
            <w:noWrap/>
            <w:hideMark/>
          </w:tcPr>
          <w:p w14:paraId="6D56E25E"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HES</w:t>
            </w:r>
          </w:p>
        </w:tc>
        <w:tc>
          <w:tcPr>
            <w:tcW w:w="969" w:type="dxa"/>
            <w:noWrap/>
            <w:hideMark/>
          </w:tcPr>
          <w:p w14:paraId="39371DD8"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IE</w:t>
            </w:r>
          </w:p>
        </w:tc>
      </w:tr>
      <w:tr w:rsidR="00535B41" w:rsidRPr="00AB5C78" w14:paraId="2FD5CCE0"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7011CA8B"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Median program savings</w:t>
            </w:r>
            <w:r>
              <w:rPr>
                <w:rFonts w:ascii="Arial Narrow" w:hAnsi="Arial Narrow" w:cs="Calibri"/>
                <w:color w:val="000000"/>
              </w:rPr>
              <w:t>,</w:t>
            </w:r>
            <w:r w:rsidRPr="007210AD">
              <w:rPr>
                <w:rFonts w:ascii="Arial Narrow" w:hAnsi="Arial Narrow" w:cs="Calibri"/>
                <w:color w:val="000000"/>
              </w:rPr>
              <w:t xml:space="preserve"> annual therm</w:t>
            </w:r>
            <w:r>
              <w:rPr>
                <w:rFonts w:ascii="Arial Narrow" w:hAnsi="Arial Narrow" w:cs="Calibri"/>
                <w:color w:val="000000"/>
              </w:rPr>
              <w:t>s</w:t>
            </w:r>
            <w:r w:rsidRPr="007210AD">
              <w:rPr>
                <w:rFonts w:ascii="Arial Narrow" w:hAnsi="Arial Narrow" w:cs="Calibri"/>
                <w:color w:val="000000"/>
              </w:rPr>
              <w:t xml:space="preserve"> per EE participant</w:t>
            </w:r>
          </w:p>
        </w:tc>
        <w:tc>
          <w:tcPr>
            <w:tcW w:w="0" w:type="auto"/>
            <w:noWrap/>
            <w:hideMark/>
          </w:tcPr>
          <w:p w14:paraId="75941B46" w14:textId="538130C6"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40.54</w:t>
            </w:r>
          </w:p>
        </w:tc>
        <w:tc>
          <w:tcPr>
            <w:tcW w:w="0" w:type="auto"/>
            <w:noWrap/>
            <w:hideMark/>
          </w:tcPr>
          <w:p w14:paraId="4DE7321B" w14:textId="0D7812D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102.51</w:t>
            </w:r>
          </w:p>
        </w:tc>
        <w:tc>
          <w:tcPr>
            <w:tcW w:w="0" w:type="auto"/>
            <w:noWrap/>
            <w:hideMark/>
          </w:tcPr>
          <w:p w14:paraId="397A2261" w14:textId="73D17B0B"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102.51</w:t>
            </w:r>
          </w:p>
        </w:tc>
        <w:tc>
          <w:tcPr>
            <w:tcW w:w="969" w:type="dxa"/>
            <w:noWrap/>
            <w:hideMark/>
          </w:tcPr>
          <w:p w14:paraId="1D85C4A6" w14:textId="78EBB05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25.477</w:t>
            </w:r>
          </w:p>
        </w:tc>
      </w:tr>
      <w:tr w:rsidR="00535B41" w:rsidRPr="00AB5C78" w14:paraId="66711547"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38218C89"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treatment customers</w:t>
            </w:r>
          </w:p>
        </w:tc>
        <w:tc>
          <w:tcPr>
            <w:tcW w:w="0" w:type="auto"/>
            <w:noWrap/>
            <w:hideMark/>
          </w:tcPr>
          <w:p w14:paraId="7A193178" w14:textId="14A6587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129,379 </w:t>
            </w:r>
          </w:p>
        </w:tc>
        <w:tc>
          <w:tcPr>
            <w:tcW w:w="0" w:type="auto"/>
            <w:noWrap/>
            <w:hideMark/>
          </w:tcPr>
          <w:p w14:paraId="338BB04C" w14:textId="59C0F70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129,379 </w:t>
            </w:r>
          </w:p>
        </w:tc>
        <w:tc>
          <w:tcPr>
            <w:tcW w:w="0" w:type="auto"/>
            <w:noWrap/>
            <w:hideMark/>
          </w:tcPr>
          <w:p w14:paraId="10F71613" w14:textId="4CF4634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129,379 </w:t>
            </w:r>
          </w:p>
        </w:tc>
        <w:tc>
          <w:tcPr>
            <w:tcW w:w="969" w:type="dxa"/>
            <w:noWrap/>
            <w:hideMark/>
          </w:tcPr>
          <w:p w14:paraId="72168ECC" w14:textId="7FBC0C15"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129,379 </w:t>
            </w:r>
          </w:p>
        </w:tc>
      </w:tr>
      <w:tr w:rsidR="00535B41" w:rsidRPr="00AB5C78" w14:paraId="790093CE"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1B4A37A9"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control customer</w:t>
            </w:r>
          </w:p>
        </w:tc>
        <w:tc>
          <w:tcPr>
            <w:tcW w:w="0" w:type="auto"/>
            <w:noWrap/>
            <w:hideMark/>
          </w:tcPr>
          <w:p w14:paraId="09461355" w14:textId="65E79E2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37,647 </w:t>
            </w:r>
          </w:p>
        </w:tc>
        <w:tc>
          <w:tcPr>
            <w:tcW w:w="0" w:type="auto"/>
            <w:noWrap/>
            <w:hideMark/>
          </w:tcPr>
          <w:p w14:paraId="60605B8D" w14:textId="7ECCA40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37,647 </w:t>
            </w:r>
          </w:p>
        </w:tc>
        <w:tc>
          <w:tcPr>
            <w:tcW w:w="0" w:type="auto"/>
            <w:noWrap/>
            <w:hideMark/>
          </w:tcPr>
          <w:p w14:paraId="6BA5087C" w14:textId="2DD4041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37,647 </w:t>
            </w:r>
          </w:p>
        </w:tc>
        <w:tc>
          <w:tcPr>
            <w:tcW w:w="969" w:type="dxa"/>
            <w:noWrap/>
            <w:hideMark/>
          </w:tcPr>
          <w:p w14:paraId="35437C33" w14:textId="7FC6794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37,647 </w:t>
            </w:r>
          </w:p>
        </w:tc>
      </w:tr>
      <w:tr w:rsidR="00535B41" w:rsidRPr="00AB5C78" w14:paraId="4C597EE3"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26333987" w14:textId="0635F996"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w:t>
            </w:r>
            <w:r>
              <w:rPr>
                <w:rFonts w:ascii="Arial Narrow" w:hAnsi="Arial Narrow" w:cs="Calibri"/>
                <w:color w:val="000000"/>
              </w:rPr>
              <w:t>2023</w:t>
            </w:r>
          </w:p>
        </w:tc>
        <w:tc>
          <w:tcPr>
            <w:tcW w:w="0" w:type="auto"/>
            <w:noWrap/>
            <w:hideMark/>
          </w:tcPr>
          <w:p w14:paraId="1632B4E8" w14:textId="25C96C29"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0.14</w:t>
            </w:r>
          </w:p>
        </w:tc>
        <w:tc>
          <w:tcPr>
            <w:tcW w:w="0" w:type="auto"/>
            <w:noWrap/>
            <w:hideMark/>
          </w:tcPr>
          <w:p w14:paraId="3252D8FC" w14:textId="32EABAE8"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0.61</w:t>
            </w:r>
          </w:p>
        </w:tc>
        <w:tc>
          <w:tcPr>
            <w:tcW w:w="0" w:type="auto"/>
            <w:noWrap/>
            <w:hideMark/>
          </w:tcPr>
          <w:p w14:paraId="2F5B17EF" w14:textId="16703DF5"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0.10</w:t>
            </w:r>
          </w:p>
        </w:tc>
        <w:tc>
          <w:tcPr>
            <w:tcW w:w="969" w:type="dxa"/>
            <w:noWrap/>
            <w:hideMark/>
          </w:tcPr>
          <w:p w14:paraId="54B2043D" w14:textId="5098A01D"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0.21</w:t>
            </w:r>
          </w:p>
        </w:tc>
      </w:tr>
      <w:tr w:rsidR="00535B41" w:rsidRPr="00AB5C78" w14:paraId="392044D0"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2065A56E" w14:textId="48E0F3F2"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w:t>
            </w:r>
            <w:r>
              <w:rPr>
                <w:rFonts w:ascii="Arial Narrow" w:hAnsi="Arial Narrow" w:cs="Calibri"/>
                <w:color w:val="000000"/>
              </w:rPr>
              <w:t>2023</w:t>
            </w:r>
          </w:p>
        </w:tc>
        <w:tc>
          <w:tcPr>
            <w:tcW w:w="0" w:type="auto"/>
            <w:noWrap/>
            <w:hideMark/>
          </w:tcPr>
          <w:p w14:paraId="76883411" w14:textId="5399801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0.16</w:t>
            </w:r>
          </w:p>
        </w:tc>
        <w:tc>
          <w:tcPr>
            <w:tcW w:w="0" w:type="auto"/>
            <w:noWrap/>
            <w:hideMark/>
          </w:tcPr>
          <w:p w14:paraId="62425879" w14:textId="5F65150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0.56</w:t>
            </w:r>
          </w:p>
        </w:tc>
        <w:tc>
          <w:tcPr>
            <w:tcW w:w="0" w:type="auto"/>
            <w:noWrap/>
            <w:hideMark/>
          </w:tcPr>
          <w:p w14:paraId="2649142B" w14:textId="46A2950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0.10</w:t>
            </w:r>
          </w:p>
        </w:tc>
        <w:tc>
          <w:tcPr>
            <w:tcW w:w="969" w:type="dxa"/>
            <w:noWrap/>
            <w:hideMark/>
          </w:tcPr>
          <w:p w14:paraId="5C9772E9" w14:textId="0325743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0.16</w:t>
            </w:r>
          </w:p>
        </w:tc>
      </w:tr>
      <w:tr w:rsidR="00535B41" w:rsidRPr="00AB5C78" w14:paraId="7EDCD429"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25FCB62E" w14:textId="7F60D3DB" w:rsidR="00535B41" w:rsidRPr="007210AD" w:rsidRDefault="00535B41" w:rsidP="00535B41">
            <w:pPr>
              <w:keepNext/>
              <w:keepLines/>
              <w:jc w:val="left"/>
              <w:rPr>
                <w:rFonts w:ascii="Arial Narrow" w:hAnsi="Arial Narrow" w:cs="Calibri"/>
                <w:color w:val="000000"/>
              </w:rPr>
            </w:pPr>
            <w:r>
              <w:rPr>
                <w:rFonts w:ascii="Arial Narrow" w:hAnsi="Arial Narrow" w:cs="Calibri"/>
                <w:color w:val="000000"/>
              </w:rPr>
              <w:t>2023</w:t>
            </w:r>
            <w:r w:rsidRPr="007210AD">
              <w:rPr>
                <w:rFonts w:ascii="Arial Narrow" w:hAnsi="Arial Narrow" w:cs="Calibri"/>
                <w:color w:val="000000"/>
              </w:rPr>
              <w:t xml:space="preserve"> savings difference</w:t>
            </w:r>
          </w:p>
        </w:tc>
        <w:tc>
          <w:tcPr>
            <w:tcW w:w="0" w:type="auto"/>
            <w:noWrap/>
            <w:hideMark/>
          </w:tcPr>
          <w:p w14:paraId="6AE5DBA6" w14:textId="2DB8F7D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-0.02</w:t>
            </w:r>
          </w:p>
        </w:tc>
        <w:tc>
          <w:tcPr>
            <w:tcW w:w="0" w:type="auto"/>
            <w:noWrap/>
            <w:hideMark/>
          </w:tcPr>
          <w:p w14:paraId="0F286073" w14:textId="74FC83B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0.05</w:t>
            </w:r>
          </w:p>
        </w:tc>
        <w:tc>
          <w:tcPr>
            <w:tcW w:w="0" w:type="auto"/>
            <w:noWrap/>
            <w:hideMark/>
          </w:tcPr>
          <w:p w14:paraId="1B08DA0C" w14:textId="77EFFAE9"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0.00</w:t>
            </w:r>
          </w:p>
        </w:tc>
        <w:tc>
          <w:tcPr>
            <w:tcW w:w="969" w:type="dxa"/>
            <w:noWrap/>
            <w:hideMark/>
          </w:tcPr>
          <w:p w14:paraId="3DA1AFAA" w14:textId="7140F15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0.05</w:t>
            </w:r>
          </w:p>
        </w:tc>
      </w:tr>
      <w:tr w:rsidR="00535B41" w:rsidRPr="00AB5C78" w14:paraId="01A04724"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78C42D11"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pre</w:t>
            </w:r>
          </w:p>
        </w:tc>
        <w:tc>
          <w:tcPr>
            <w:tcW w:w="0" w:type="auto"/>
            <w:noWrap/>
            <w:hideMark/>
          </w:tcPr>
          <w:p w14:paraId="1901CEE7" w14:textId="78E22E9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0.07</w:t>
            </w:r>
          </w:p>
        </w:tc>
        <w:tc>
          <w:tcPr>
            <w:tcW w:w="0" w:type="auto"/>
            <w:noWrap/>
            <w:hideMark/>
          </w:tcPr>
          <w:p w14:paraId="756B32C8" w14:textId="56D74F58"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0.92</w:t>
            </w:r>
          </w:p>
        </w:tc>
        <w:tc>
          <w:tcPr>
            <w:tcW w:w="0" w:type="auto"/>
            <w:noWrap/>
            <w:hideMark/>
          </w:tcPr>
          <w:p w14:paraId="2C880BB5" w14:textId="6590CBCB"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0.19</w:t>
            </w:r>
          </w:p>
        </w:tc>
        <w:tc>
          <w:tcPr>
            <w:tcW w:w="969" w:type="dxa"/>
            <w:noWrap/>
            <w:hideMark/>
          </w:tcPr>
          <w:p w14:paraId="7A35EBB4" w14:textId="01F505A8"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0.04</w:t>
            </w:r>
          </w:p>
        </w:tc>
      </w:tr>
      <w:tr w:rsidR="00535B41" w:rsidRPr="00AB5C78" w14:paraId="4A411024"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7CD5CF2C"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pre</w:t>
            </w:r>
          </w:p>
        </w:tc>
        <w:tc>
          <w:tcPr>
            <w:tcW w:w="0" w:type="auto"/>
            <w:noWrap/>
            <w:hideMark/>
          </w:tcPr>
          <w:p w14:paraId="3179B370" w14:textId="40069BF8"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0.07</w:t>
            </w:r>
          </w:p>
        </w:tc>
        <w:tc>
          <w:tcPr>
            <w:tcW w:w="0" w:type="auto"/>
            <w:noWrap/>
            <w:hideMark/>
          </w:tcPr>
          <w:p w14:paraId="24E596A6" w14:textId="352FB831"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0.88</w:t>
            </w:r>
          </w:p>
        </w:tc>
        <w:tc>
          <w:tcPr>
            <w:tcW w:w="0" w:type="auto"/>
            <w:noWrap/>
            <w:hideMark/>
          </w:tcPr>
          <w:p w14:paraId="16D1124F" w14:textId="36C5C21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0.22</w:t>
            </w:r>
          </w:p>
        </w:tc>
        <w:tc>
          <w:tcPr>
            <w:tcW w:w="969" w:type="dxa"/>
            <w:noWrap/>
            <w:hideMark/>
          </w:tcPr>
          <w:p w14:paraId="6DB8166C" w14:textId="2D4B5F95"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0.06</w:t>
            </w:r>
          </w:p>
        </w:tc>
      </w:tr>
      <w:tr w:rsidR="00535B41" w:rsidRPr="00AB5C78" w14:paraId="3F99FBCA"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3D1505ED"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Pre savings difference</w:t>
            </w:r>
          </w:p>
        </w:tc>
        <w:tc>
          <w:tcPr>
            <w:tcW w:w="0" w:type="auto"/>
            <w:noWrap/>
            <w:hideMark/>
          </w:tcPr>
          <w:p w14:paraId="6A912E8F" w14:textId="43BEC55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0.00</w:t>
            </w:r>
          </w:p>
        </w:tc>
        <w:tc>
          <w:tcPr>
            <w:tcW w:w="0" w:type="auto"/>
            <w:noWrap/>
            <w:hideMark/>
          </w:tcPr>
          <w:p w14:paraId="5EB41F81" w14:textId="7DEA684B"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0.04</w:t>
            </w:r>
          </w:p>
        </w:tc>
        <w:tc>
          <w:tcPr>
            <w:tcW w:w="0" w:type="auto"/>
            <w:noWrap/>
            <w:hideMark/>
          </w:tcPr>
          <w:p w14:paraId="3F2985DC" w14:textId="0EB42B34"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-0.03</w:t>
            </w:r>
          </w:p>
        </w:tc>
        <w:tc>
          <w:tcPr>
            <w:tcW w:w="969" w:type="dxa"/>
            <w:noWrap/>
            <w:hideMark/>
          </w:tcPr>
          <w:p w14:paraId="37011546" w14:textId="1EB7E4D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-0.02</w:t>
            </w:r>
          </w:p>
        </w:tc>
      </w:tr>
      <w:tr w:rsidR="00535B41" w:rsidRPr="00AB5C78" w14:paraId="0C3C9E3F"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115D5AAA"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DID or POD statistic</w:t>
            </w:r>
          </w:p>
        </w:tc>
        <w:tc>
          <w:tcPr>
            <w:tcW w:w="0" w:type="auto"/>
            <w:noWrap/>
            <w:hideMark/>
          </w:tcPr>
          <w:p w14:paraId="456BDCE9" w14:textId="4EF6AF02"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-0.02</w:t>
            </w:r>
          </w:p>
        </w:tc>
        <w:tc>
          <w:tcPr>
            <w:tcW w:w="0" w:type="auto"/>
            <w:noWrap/>
            <w:hideMark/>
          </w:tcPr>
          <w:p w14:paraId="5606B67A" w14:textId="11A3AA88"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0.01</w:t>
            </w:r>
          </w:p>
        </w:tc>
        <w:tc>
          <w:tcPr>
            <w:tcW w:w="0" w:type="auto"/>
            <w:noWrap/>
            <w:hideMark/>
          </w:tcPr>
          <w:p w14:paraId="5A934C5F" w14:textId="66B6E509"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0.03</w:t>
            </w:r>
          </w:p>
        </w:tc>
        <w:tc>
          <w:tcPr>
            <w:tcW w:w="969" w:type="dxa"/>
            <w:noWrap/>
            <w:hideMark/>
          </w:tcPr>
          <w:p w14:paraId="5FE5C17C" w14:textId="1353ADE4"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0.07</w:t>
            </w:r>
          </w:p>
        </w:tc>
      </w:tr>
      <w:tr w:rsidR="00535B41" w:rsidRPr="00AB5C78" w14:paraId="59795104" w14:textId="77777777" w:rsidTr="005161A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0C8F9575"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Savings attributable to other programs</w:t>
            </w:r>
            <w:r>
              <w:rPr>
                <w:rFonts w:ascii="Arial Narrow" w:hAnsi="Arial Narrow" w:cs="Calibri"/>
                <w:color w:val="000000"/>
              </w:rPr>
              <w:t>, t</w:t>
            </w:r>
            <w:r w:rsidRPr="007210AD">
              <w:rPr>
                <w:rFonts w:ascii="Arial Narrow" w:hAnsi="Arial Narrow" w:cs="Calibri"/>
                <w:color w:val="000000"/>
              </w:rPr>
              <w:t>herm</w:t>
            </w:r>
            <w:r>
              <w:rPr>
                <w:rFonts w:ascii="Arial Narrow" w:hAnsi="Arial Narrow" w:cs="Calibri"/>
                <w:color w:val="000000"/>
              </w:rPr>
              <w:t>s</w:t>
            </w:r>
          </w:p>
        </w:tc>
        <w:tc>
          <w:tcPr>
            <w:tcW w:w="0" w:type="auto"/>
            <w:noWrap/>
            <w:hideMark/>
          </w:tcPr>
          <w:p w14:paraId="7B655050" w14:textId="6ADA8914"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-2,774</w:t>
            </w:r>
          </w:p>
        </w:tc>
        <w:tc>
          <w:tcPr>
            <w:tcW w:w="0" w:type="auto"/>
            <w:noWrap/>
            <w:hideMark/>
          </w:tcPr>
          <w:p w14:paraId="78C710B5" w14:textId="11C052B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838 </w:t>
            </w:r>
          </w:p>
        </w:tc>
        <w:tc>
          <w:tcPr>
            <w:tcW w:w="0" w:type="auto"/>
            <w:noWrap/>
            <w:hideMark/>
          </w:tcPr>
          <w:p w14:paraId="07D8F581" w14:textId="18D50AC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3,278 </w:t>
            </w:r>
          </w:p>
        </w:tc>
        <w:tc>
          <w:tcPr>
            <w:tcW w:w="969" w:type="dxa"/>
            <w:noWrap/>
            <w:hideMark/>
          </w:tcPr>
          <w:p w14:paraId="294F122F" w14:textId="131956F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rPr>
            </w:pPr>
            <w:r w:rsidRPr="00F66CA7">
              <w:rPr>
                <w:rFonts w:ascii="Arial Narrow" w:hAnsi="Arial Narrow" w:cs="Arial"/>
              </w:rPr>
              <w:t xml:space="preserve"> 8,420 </w:t>
            </w:r>
          </w:p>
        </w:tc>
      </w:tr>
      <w:tr w:rsidR="00535B41" w:rsidRPr="00AB5C78" w14:paraId="55077F8B" w14:textId="77777777" w:rsidTr="005161A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44" w:type="dxa"/>
            <w:noWrap/>
            <w:hideMark/>
          </w:tcPr>
          <w:p w14:paraId="1E25EC48"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Implied change in participation</w:t>
            </w:r>
          </w:p>
        </w:tc>
        <w:tc>
          <w:tcPr>
            <w:tcW w:w="0" w:type="auto"/>
            <w:noWrap/>
            <w:hideMark/>
          </w:tcPr>
          <w:p w14:paraId="2FE65A3A" w14:textId="30E354D4"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-68.4</w:t>
            </w:r>
          </w:p>
        </w:tc>
        <w:tc>
          <w:tcPr>
            <w:tcW w:w="0" w:type="auto"/>
            <w:noWrap/>
            <w:hideMark/>
          </w:tcPr>
          <w:p w14:paraId="33203545" w14:textId="7C01EC9E"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8.2</w:t>
            </w:r>
          </w:p>
        </w:tc>
        <w:tc>
          <w:tcPr>
            <w:tcW w:w="0" w:type="auto"/>
            <w:noWrap/>
            <w:hideMark/>
          </w:tcPr>
          <w:p w14:paraId="75A85581" w14:textId="4492B9E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32.0</w:t>
            </w:r>
          </w:p>
        </w:tc>
        <w:tc>
          <w:tcPr>
            <w:tcW w:w="969" w:type="dxa"/>
            <w:noWrap/>
            <w:hideMark/>
          </w:tcPr>
          <w:p w14:paraId="55E533F7" w14:textId="31A7A78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0"/>
              </w:rPr>
            </w:pPr>
            <w:r w:rsidRPr="00F66CA7">
              <w:rPr>
                <w:rFonts w:ascii="Arial Narrow" w:hAnsi="Arial Narrow" w:cs="Arial"/>
              </w:rPr>
              <w:t>330.5</w:t>
            </w:r>
          </w:p>
        </w:tc>
      </w:tr>
    </w:tbl>
    <w:p w14:paraId="1BB4D828" w14:textId="77777777" w:rsidR="00CB29B0" w:rsidRPr="008154CC" w:rsidRDefault="00CB29B0" w:rsidP="00CB29B0">
      <w:pPr>
        <w:ind w:left="270" w:firstLine="450"/>
        <w:rPr>
          <w:i/>
          <w:sz w:val="18"/>
          <w:szCs w:val="18"/>
        </w:rPr>
      </w:pPr>
      <w:r w:rsidRPr="008154CC">
        <w:rPr>
          <w:i/>
          <w:sz w:val="18"/>
          <w:szCs w:val="18"/>
        </w:rPr>
        <w:t>Source: Guidehouse analysis of Nicor Gas program tracking and customer billing data.</w:t>
      </w:r>
    </w:p>
    <w:p w14:paraId="03D53626" w14:textId="77777777" w:rsidR="00CB29B0" w:rsidRDefault="00CB29B0" w:rsidP="00CB29B0">
      <w:pPr>
        <w:ind w:left="270"/>
        <w:rPr>
          <w:i/>
          <w:sz w:val="16"/>
          <w:szCs w:val="16"/>
        </w:rPr>
      </w:pPr>
    </w:p>
    <w:p w14:paraId="7644CF20" w14:textId="1E0EC158" w:rsidR="00237ED4" w:rsidRDefault="00571E01" w:rsidP="00237ED4">
      <w:pPr>
        <w:pStyle w:val="Caption"/>
      </w:pPr>
      <w:bookmarkStart w:id="92" w:name="_Ref164683043"/>
      <w:bookmarkStart w:id="93" w:name="_Ref133315119"/>
      <w:bookmarkStart w:id="94" w:name="_Toc133316583"/>
      <w:bookmarkStart w:id="95" w:name="_Toc137824742"/>
      <w:bookmarkStart w:id="96" w:name="_Toc165318885"/>
      <w:r>
        <w:lastRenderedPageBreak/>
        <w:t xml:space="preserve">Table </w:t>
      </w:r>
      <w:r w:rsidR="00372B72">
        <w:fldChar w:fldCharType="begin"/>
      </w:r>
      <w:r w:rsidR="00372B72">
        <w:instrText xml:space="preserve"> STYLEREF 5 \s </w:instrText>
      </w:r>
      <w:r w:rsidR="00372B72">
        <w:fldChar w:fldCharType="separate"/>
      </w:r>
      <w:r>
        <w:rPr>
          <w:noProof/>
        </w:rPr>
        <w:t>B</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Pr>
          <w:noProof/>
        </w:rPr>
        <w:t>3</w:t>
      </w:r>
      <w:r w:rsidR="00372B72">
        <w:rPr>
          <w:noProof/>
        </w:rPr>
        <w:fldChar w:fldCharType="end"/>
      </w:r>
      <w:bookmarkEnd w:id="92"/>
      <w:r w:rsidR="00237ED4">
        <w:t xml:space="preserve">. </w:t>
      </w:r>
      <w:r w:rsidR="00237ED4" w:rsidRPr="00C257B1">
        <w:t xml:space="preserve">2023 Uplift Adjustment Details, Wave </w:t>
      </w:r>
      <w:r w:rsidR="00237ED4">
        <w:t>2</w:t>
      </w:r>
      <w:bookmarkEnd w:id="96"/>
    </w:p>
    <w:tbl>
      <w:tblPr>
        <w:tblStyle w:val="EnergyTable1"/>
        <w:tblW w:w="9360" w:type="dxa"/>
        <w:tblLook w:val="04A0" w:firstRow="1" w:lastRow="0" w:firstColumn="1" w:lastColumn="0" w:noHBand="0" w:noVBand="1"/>
      </w:tblPr>
      <w:tblGrid>
        <w:gridCol w:w="5634"/>
        <w:gridCol w:w="919"/>
        <w:gridCol w:w="919"/>
        <w:gridCol w:w="919"/>
        <w:gridCol w:w="969"/>
      </w:tblGrid>
      <w:tr w:rsidR="0036738B" w:rsidRPr="007F1322" w14:paraId="3B525248" w14:textId="77777777" w:rsidTr="00DE1FE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4B0E1E5F" w14:textId="77777777" w:rsidR="0036738B" w:rsidRPr="007210AD" w:rsidRDefault="0036738B" w:rsidP="00757E7A">
            <w:pPr>
              <w:keepNext/>
              <w:keepLines/>
              <w:jc w:val="left"/>
              <w:rPr>
                <w:rFonts w:ascii="Arial Narrow" w:hAnsi="Arial Narrow" w:cs="Calibri"/>
              </w:rPr>
            </w:pPr>
            <w:r w:rsidRPr="007210AD">
              <w:rPr>
                <w:rFonts w:ascii="Arial Narrow" w:hAnsi="Arial Narrow" w:cs="Calibri"/>
              </w:rPr>
              <w:t>Program</w:t>
            </w:r>
          </w:p>
        </w:tc>
        <w:tc>
          <w:tcPr>
            <w:tcW w:w="0" w:type="auto"/>
            <w:noWrap/>
            <w:hideMark/>
          </w:tcPr>
          <w:p w14:paraId="77B00ACF" w14:textId="77777777" w:rsidR="0036738B" w:rsidRPr="00F91DA8" w:rsidRDefault="0036738B"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ESK</w:t>
            </w:r>
          </w:p>
        </w:tc>
        <w:tc>
          <w:tcPr>
            <w:tcW w:w="0" w:type="auto"/>
            <w:noWrap/>
            <w:hideMark/>
          </w:tcPr>
          <w:p w14:paraId="379BA168" w14:textId="77777777" w:rsidR="0036738B" w:rsidRPr="00F91DA8" w:rsidRDefault="0036738B"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HEER</w:t>
            </w:r>
          </w:p>
        </w:tc>
        <w:tc>
          <w:tcPr>
            <w:tcW w:w="0" w:type="auto"/>
            <w:noWrap/>
            <w:hideMark/>
          </w:tcPr>
          <w:p w14:paraId="688BF682" w14:textId="77777777" w:rsidR="0036738B" w:rsidRPr="00F91DA8" w:rsidRDefault="0036738B"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HES</w:t>
            </w:r>
          </w:p>
        </w:tc>
        <w:tc>
          <w:tcPr>
            <w:tcW w:w="969" w:type="dxa"/>
            <w:noWrap/>
            <w:hideMark/>
          </w:tcPr>
          <w:p w14:paraId="5C7CD05C" w14:textId="77777777" w:rsidR="0036738B" w:rsidRPr="00F91DA8" w:rsidRDefault="0036738B"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IE</w:t>
            </w:r>
          </w:p>
        </w:tc>
      </w:tr>
      <w:tr w:rsidR="00535B41" w:rsidRPr="00AB5C78" w14:paraId="2E6DED63"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602B6D78"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Median program savings</w:t>
            </w:r>
            <w:r>
              <w:rPr>
                <w:rFonts w:ascii="Arial Narrow" w:hAnsi="Arial Narrow" w:cs="Calibri"/>
                <w:color w:val="000000"/>
              </w:rPr>
              <w:t>,</w:t>
            </w:r>
            <w:r w:rsidRPr="007210AD">
              <w:rPr>
                <w:rFonts w:ascii="Arial Narrow" w:hAnsi="Arial Narrow" w:cs="Calibri"/>
                <w:color w:val="000000"/>
              </w:rPr>
              <w:t xml:space="preserve"> annual therm</w:t>
            </w:r>
            <w:r>
              <w:rPr>
                <w:rFonts w:ascii="Arial Narrow" w:hAnsi="Arial Narrow" w:cs="Calibri"/>
                <w:color w:val="000000"/>
              </w:rPr>
              <w:t>s</w:t>
            </w:r>
            <w:r w:rsidRPr="007210AD">
              <w:rPr>
                <w:rFonts w:ascii="Arial Narrow" w:hAnsi="Arial Narrow" w:cs="Calibri"/>
                <w:color w:val="000000"/>
              </w:rPr>
              <w:t xml:space="preserve"> per EE participant</w:t>
            </w:r>
          </w:p>
        </w:tc>
        <w:tc>
          <w:tcPr>
            <w:tcW w:w="0" w:type="auto"/>
            <w:noWrap/>
            <w:hideMark/>
          </w:tcPr>
          <w:p w14:paraId="7D138236" w14:textId="2B214DFD"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39.9</w:t>
            </w:r>
          </w:p>
        </w:tc>
        <w:tc>
          <w:tcPr>
            <w:tcW w:w="0" w:type="auto"/>
            <w:noWrap/>
            <w:hideMark/>
          </w:tcPr>
          <w:p w14:paraId="707747DA" w14:textId="6743B4B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102.51</w:t>
            </w:r>
          </w:p>
        </w:tc>
        <w:tc>
          <w:tcPr>
            <w:tcW w:w="0" w:type="auto"/>
            <w:noWrap/>
            <w:hideMark/>
          </w:tcPr>
          <w:p w14:paraId="2B0C6850" w14:textId="31F08E1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102.51</w:t>
            </w:r>
          </w:p>
        </w:tc>
        <w:tc>
          <w:tcPr>
            <w:tcW w:w="969" w:type="dxa"/>
            <w:noWrap/>
            <w:hideMark/>
          </w:tcPr>
          <w:p w14:paraId="160A911E" w14:textId="196290BB"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25.48</w:t>
            </w:r>
          </w:p>
        </w:tc>
      </w:tr>
      <w:tr w:rsidR="00535B41" w:rsidRPr="00AB5C78" w14:paraId="5D5A9F65"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4A38BF5D"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treatment customers</w:t>
            </w:r>
          </w:p>
        </w:tc>
        <w:tc>
          <w:tcPr>
            <w:tcW w:w="0" w:type="auto"/>
            <w:noWrap/>
            <w:hideMark/>
          </w:tcPr>
          <w:p w14:paraId="7E1228CD" w14:textId="271A6D53"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176,501 </w:t>
            </w:r>
          </w:p>
        </w:tc>
        <w:tc>
          <w:tcPr>
            <w:tcW w:w="0" w:type="auto"/>
            <w:noWrap/>
            <w:hideMark/>
          </w:tcPr>
          <w:p w14:paraId="19B42E65" w14:textId="3D4E7D7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176,501 </w:t>
            </w:r>
          </w:p>
        </w:tc>
        <w:tc>
          <w:tcPr>
            <w:tcW w:w="0" w:type="auto"/>
            <w:noWrap/>
            <w:hideMark/>
          </w:tcPr>
          <w:p w14:paraId="30649E27" w14:textId="0AAE5822"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176,501 </w:t>
            </w:r>
          </w:p>
        </w:tc>
        <w:tc>
          <w:tcPr>
            <w:tcW w:w="969" w:type="dxa"/>
            <w:noWrap/>
            <w:hideMark/>
          </w:tcPr>
          <w:p w14:paraId="1F140042" w14:textId="55197F4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176,501 </w:t>
            </w:r>
          </w:p>
        </w:tc>
      </w:tr>
      <w:tr w:rsidR="00535B41" w:rsidRPr="00AB5C78" w14:paraId="6C285D0A"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78A1C11A"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control customer</w:t>
            </w:r>
          </w:p>
        </w:tc>
        <w:tc>
          <w:tcPr>
            <w:tcW w:w="0" w:type="auto"/>
            <w:noWrap/>
            <w:hideMark/>
          </w:tcPr>
          <w:p w14:paraId="7079F35C" w14:textId="51B3132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58,830 </w:t>
            </w:r>
          </w:p>
        </w:tc>
        <w:tc>
          <w:tcPr>
            <w:tcW w:w="0" w:type="auto"/>
            <w:noWrap/>
            <w:hideMark/>
          </w:tcPr>
          <w:p w14:paraId="117A0670" w14:textId="50D064F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58,830 </w:t>
            </w:r>
          </w:p>
        </w:tc>
        <w:tc>
          <w:tcPr>
            <w:tcW w:w="0" w:type="auto"/>
            <w:noWrap/>
            <w:hideMark/>
          </w:tcPr>
          <w:p w14:paraId="1155AD77" w14:textId="77DDCC40"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58,830 </w:t>
            </w:r>
          </w:p>
        </w:tc>
        <w:tc>
          <w:tcPr>
            <w:tcW w:w="969" w:type="dxa"/>
            <w:noWrap/>
            <w:hideMark/>
          </w:tcPr>
          <w:p w14:paraId="1EEC593E" w14:textId="5E36329C"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58,830 </w:t>
            </w:r>
          </w:p>
        </w:tc>
      </w:tr>
      <w:tr w:rsidR="00535B41" w:rsidRPr="00AB5C78" w14:paraId="0B0FB7F2"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63862757"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w:t>
            </w:r>
            <w:r>
              <w:rPr>
                <w:rFonts w:ascii="Arial Narrow" w:hAnsi="Arial Narrow" w:cs="Calibri"/>
                <w:color w:val="000000"/>
              </w:rPr>
              <w:t>2023</w:t>
            </w:r>
          </w:p>
        </w:tc>
        <w:tc>
          <w:tcPr>
            <w:tcW w:w="0" w:type="auto"/>
            <w:noWrap/>
            <w:hideMark/>
          </w:tcPr>
          <w:p w14:paraId="2CA02539" w14:textId="230ED3BC"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0.19</w:t>
            </w:r>
          </w:p>
        </w:tc>
        <w:tc>
          <w:tcPr>
            <w:tcW w:w="0" w:type="auto"/>
            <w:noWrap/>
            <w:hideMark/>
          </w:tcPr>
          <w:p w14:paraId="16C0D5C6" w14:textId="73F1D8C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0.83</w:t>
            </w:r>
          </w:p>
        </w:tc>
        <w:tc>
          <w:tcPr>
            <w:tcW w:w="0" w:type="auto"/>
            <w:noWrap/>
            <w:hideMark/>
          </w:tcPr>
          <w:p w14:paraId="7ED5CD24" w14:textId="0B24AD4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0.09</w:t>
            </w:r>
          </w:p>
        </w:tc>
        <w:tc>
          <w:tcPr>
            <w:tcW w:w="969" w:type="dxa"/>
            <w:noWrap/>
            <w:hideMark/>
          </w:tcPr>
          <w:p w14:paraId="6B2BD177" w14:textId="7D88AC52"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0.12</w:t>
            </w:r>
          </w:p>
        </w:tc>
      </w:tr>
      <w:tr w:rsidR="00535B41" w:rsidRPr="00AB5C78" w14:paraId="05ADC285"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7510802C"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w:t>
            </w:r>
            <w:r>
              <w:rPr>
                <w:rFonts w:ascii="Arial Narrow" w:hAnsi="Arial Narrow" w:cs="Calibri"/>
                <w:color w:val="000000"/>
              </w:rPr>
              <w:t>2023</w:t>
            </w:r>
          </w:p>
        </w:tc>
        <w:tc>
          <w:tcPr>
            <w:tcW w:w="0" w:type="auto"/>
            <w:noWrap/>
            <w:hideMark/>
          </w:tcPr>
          <w:p w14:paraId="15122035" w14:textId="7C057B2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0.20</w:t>
            </w:r>
          </w:p>
        </w:tc>
        <w:tc>
          <w:tcPr>
            <w:tcW w:w="0" w:type="auto"/>
            <w:noWrap/>
            <w:hideMark/>
          </w:tcPr>
          <w:p w14:paraId="736A4D6B" w14:textId="7BE9FA7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0.74</w:t>
            </w:r>
          </w:p>
        </w:tc>
        <w:tc>
          <w:tcPr>
            <w:tcW w:w="0" w:type="auto"/>
            <w:noWrap/>
            <w:hideMark/>
          </w:tcPr>
          <w:p w14:paraId="5028FC9A" w14:textId="76331B4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0.11</w:t>
            </w:r>
          </w:p>
        </w:tc>
        <w:tc>
          <w:tcPr>
            <w:tcW w:w="969" w:type="dxa"/>
            <w:noWrap/>
            <w:hideMark/>
          </w:tcPr>
          <w:p w14:paraId="4F6F8E2A" w14:textId="2E7B8EAD"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0.12</w:t>
            </w:r>
          </w:p>
        </w:tc>
      </w:tr>
      <w:tr w:rsidR="00535B41" w:rsidRPr="00AB5C78" w14:paraId="1AD1ECFB"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760C12F3" w14:textId="77777777" w:rsidR="00535B41" w:rsidRPr="007210AD" w:rsidRDefault="00535B41" w:rsidP="00535B41">
            <w:pPr>
              <w:keepNext/>
              <w:keepLines/>
              <w:jc w:val="left"/>
              <w:rPr>
                <w:rFonts w:ascii="Arial Narrow" w:hAnsi="Arial Narrow" w:cs="Calibri"/>
                <w:color w:val="000000"/>
              </w:rPr>
            </w:pPr>
            <w:r>
              <w:rPr>
                <w:rFonts w:ascii="Arial Narrow" w:hAnsi="Arial Narrow" w:cs="Calibri"/>
                <w:color w:val="000000"/>
              </w:rPr>
              <w:t>2023</w:t>
            </w:r>
            <w:r w:rsidRPr="007210AD">
              <w:rPr>
                <w:rFonts w:ascii="Arial Narrow" w:hAnsi="Arial Narrow" w:cs="Calibri"/>
                <w:color w:val="000000"/>
              </w:rPr>
              <w:t xml:space="preserve"> savings difference</w:t>
            </w:r>
          </w:p>
        </w:tc>
        <w:tc>
          <w:tcPr>
            <w:tcW w:w="0" w:type="auto"/>
            <w:noWrap/>
            <w:hideMark/>
          </w:tcPr>
          <w:p w14:paraId="483FDBAE" w14:textId="61D5C4F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-0.01</w:t>
            </w:r>
          </w:p>
        </w:tc>
        <w:tc>
          <w:tcPr>
            <w:tcW w:w="0" w:type="auto"/>
            <w:noWrap/>
            <w:hideMark/>
          </w:tcPr>
          <w:p w14:paraId="54DB6F29" w14:textId="593BAF7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0.09</w:t>
            </w:r>
          </w:p>
        </w:tc>
        <w:tc>
          <w:tcPr>
            <w:tcW w:w="0" w:type="auto"/>
            <w:noWrap/>
            <w:hideMark/>
          </w:tcPr>
          <w:p w14:paraId="014466A5" w14:textId="4A771E4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-0.02</w:t>
            </w:r>
          </w:p>
        </w:tc>
        <w:tc>
          <w:tcPr>
            <w:tcW w:w="969" w:type="dxa"/>
            <w:noWrap/>
            <w:hideMark/>
          </w:tcPr>
          <w:p w14:paraId="382266E3" w14:textId="3675973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0.00</w:t>
            </w:r>
          </w:p>
        </w:tc>
      </w:tr>
      <w:tr w:rsidR="00535B41" w:rsidRPr="00AB5C78" w14:paraId="1E223660"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027D2850"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pre</w:t>
            </w:r>
          </w:p>
        </w:tc>
        <w:tc>
          <w:tcPr>
            <w:tcW w:w="0" w:type="auto"/>
            <w:noWrap/>
            <w:hideMark/>
          </w:tcPr>
          <w:p w14:paraId="16803159" w14:textId="601C8F83"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0.55</w:t>
            </w:r>
          </w:p>
        </w:tc>
        <w:tc>
          <w:tcPr>
            <w:tcW w:w="0" w:type="auto"/>
            <w:noWrap/>
            <w:hideMark/>
          </w:tcPr>
          <w:p w14:paraId="4EF1E439" w14:textId="09D9EDB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1.09</w:t>
            </w:r>
          </w:p>
        </w:tc>
        <w:tc>
          <w:tcPr>
            <w:tcW w:w="0" w:type="auto"/>
            <w:noWrap/>
            <w:hideMark/>
          </w:tcPr>
          <w:p w14:paraId="30CD34BA" w14:textId="560FF84D"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0.16</w:t>
            </w:r>
          </w:p>
        </w:tc>
        <w:tc>
          <w:tcPr>
            <w:tcW w:w="969" w:type="dxa"/>
            <w:noWrap/>
            <w:hideMark/>
          </w:tcPr>
          <w:p w14:paraId="4B6C8B20" w14:textId="7863F4D3"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0.08</w:t>
            </w:r>
          </w:p>
        </w:tc>
      </w:tr>
      <w:tr w:rsidR="00535B41" w:rsidRPr="00AB5C78" w14:paraId="08FBACC9"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218CBBFF"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pre</w:t>
            </w:r>
          </w:p>
        </w:tc>
        <w:tc>
          <w:tcPr>
            <w:tcW w:w="0" w:type="auto"/>
            <w:noWrap/>
            <w:hideMark/>
          </w:tcPr>
          <w:p w14:paraId="2F14E52D" w14:textId="74D7DB83"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0.53</w:t>
            </w:r>
          </w:p>
        </w:tc>
        <w:tc>
          <w:tcPr>
            <w:tcW w:w="0" w:type="auto"/>
            <w:noWrap/>
            <w:hideMark/>
          </w:tcPr>
          <w:p w14:paraId="4FA8CA63" w14:textId="4986769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1.11</w:t>
            </w:r>
          </w:p>
        </w:tc>
        <w:tc>
          <w:tcPr>
            <w:tcW w:w="0" w:type="auto"/>
            <w:noWrap/>
            <w:hideMark/>
          </w:tcPr>
          <w:p w14:paraId="1969060B" w14:textId="1EEC4B12"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0.15</w:t>
            </w:r>
          </w:p>
        </w:tc>
        <w:tc>
          <w:tcPr>
            <w:tcW w:w="969" w:type="dxa"/>
            <w:noWrap/>
            <w:hideMark/>
          </w:tcPr>
          <w:p w14:paraId="6D1991CF" w14:textId="6D020A55"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0.10</w:t>
            </w:r>
          </w:p>
        </w:tc>
      </w:tr>
      <w:tr w:rsidR="00535B41" w:rsidRPr="00AB5C78" w14:paraId="41C9D8CC"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3A2054CA"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Pre savings difference</w:t>
            </w:r>
          </w:p>
        </w:tc>
        <w:tc>
          <w:tcPr>
            <w:tcW w:w="0" w:type="auto"/>
            <w:noWrap/>
            <w:hideMark/>
          </w:tcPr>
          <w:p w14:paraId="0561A4F3" w14:textId="515432E4"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0.01</w:t>
            </w:r>
          </w:p>
        </w:tc>
        <w:tc>
          <w:tcPr>
            <w:tcW w:w="0" w:type="auto"/>
            <w:noWrap/>
            <w:hideMark/>
          </w:tcPr>
          <w:p w14:paraId="0E01B068" w14:textId="4B9B337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-0.03</w:t>
            </w:r>
          </w:p>
        </w:tc>
        <w:tc>
          <w:tcPr>
            <w:tcW w:w="0" w:type="auto"/>
            <w:noWrap/>
            <w:hideMark/>
          </w:tcPr>
          <w:p w14:paraId="71D94D1C" w14:textId="0BD7AD4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0.01</w:t>
            </w:r>
          </w:p>
        </w:tc>
        <w:tc>
          <w:tcPr>
            <w:tcW w:w="969" w:type="dxa"/>
            <w:noWrap/>
            <w:hideMark/>
          </w:tcPr>
          <w:p w14:paraId="38702861" w14:textId="2B17914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-0.02</w:t>
            </w:r>
          </w:p>
        </w:tc>
      </w:tr>
      <w:tr w:rsidR="00535B41" w:rsidRPr="00AB5C78" w14:paraId="6C7467B6"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778ECF7D"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DID or POD statistic</w:t>
            </w:r>
          </w:p>
        </w:tc>
        <w:tc>
          <w:tcPr>
            <w:tcW w:w="0" w:type="auto"/>
            <w:noWrap/>
            <w:hideMark/>
          </w:tcPr>
          <w:p w14:paraId="3CBAF641" w14:textId="35457F18"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-0.03</w:t>
            </w:r>
          </w:p>
        </w:tc>
        <w:tc>
          <w:tcPr>
            <w:tcW w:w="0" w:type="auto"/>
            <w:noWrap/>
            <w:hideMark/>
          </w:tcPr>
          <w:p w14:paraId="6B860197" w14:textId="4078CD5E"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0.12</w:t>
            </w:r>
          </w:p>
        </w:tc>
        <w:tc>
          <w:tcPr>
            <w:tcW w:w="0" w:type="auto"/>
            <w:noWrap/>
            <w:hideMark/>
          </w:tcPr>
          <w:p w14:paraId="0EF7DFDD" w14:textId="358D793D"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-0.02</w:t>
            </w:r>
          </w:p>
        </w:tc>
        <w:tc>
          <w:tcPr>
            <w:tcW w:w="969" w:type="dxa"/>
            <w:noWrap/>
            <w:hideMark/>
          </w:tcPr>
          <w:p w14:paraId="5653EB3D" w14:textId="77B1C08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0.02</w:t>
            </w:r>
          </w:p>
        </w:tc>
      </w:tr>
      <w:tr w:rsidR="00535B41" w:rsidRPr="00AB5C78" w14:paraId="66F84AB3"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48BBA82E"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Savings attributable to other programs</w:t>
            </w:r>
            <w:r>
              <w:rPr>
                <w:rFonts w:ascii="Arial Narrow" w:hAnsi="Arial Narrow" w:cs="Calibri"/>
                <w:color w:val="000000"/>
              </w:rPr>
              <w:t>, t</w:t>
            </w:r>
            <w:r w:rsidRPr="007210AD">
              <w:rPr>
                <w:rFonts w:ascii="Arial Narrow" w:hAnsi="Arial Narrow" w:cs="Calibri"/>
                <w:color w:val="000000"/>
              </w:rPr>
              <w:t>herm</w:t>
            </w:r>
            <w:r>
              <w:rPr>
                <w:rFonts w:ascii="Arial Narrow" w:hAnsi="Arial Narrow" w:cs="Calibri"/>
                <w:color w:val="000000"/>
              </w:rPr>
              <w:t>s</w:t>
            </w:r>
          </w:p>
        </w:tc>
        <w:tc>
          <w:tcPr>
            <w:tcW w:w="0" w:type="auto"/>
            <w:noWrap/>
            <w:hideMark/>
          </w:tcPr>
          <w:p w14:paraId="622FB850" w14:textId="3A9AF1B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-4,546</w:t>
            </w:r>
          </w:p>
        </w:tc>
        <w:tc>
          <w:tcPr>
            <w:tcW w:w="0" w:type="auto"/>
            <w:noWrap/>
            <w:hideMark/>
          </w:tcPr>
          <w:p w14:paraId="5BBEB977" w14:textId="18A1B696"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20,780 </w:t>
            </w:r>
          </w:p>
        </w:tc>
        <w:tc>
          <w:tcPr>
            <w:tcW w:w="0" w:type="auto"/>
            <w:noWrap/>
            <w:hideMark/>
          </w:tcPr>
          <w:p w14:paraId="3EDDF35B" w14:textId="014370D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-3,831</w:t>
            </w:r>
          </w:p>
        </w:tc>
        <w:tc>
          <w:tcPr>
            <w:tcW w:w="969" w:type="dxa"/>
            <w:noWrap/>
            <w:hideMark/>
          </w:tcPr>
          <w:p w14:paraId="63CDBDD4" w14:textId="1895FC50"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66CA7">
              <w:rPr>
                <w:rFonts w:ascii="Arial Narrow" w:hAnsi="Arial Narrow"/>
              </w:rPr>
              <w:t xml:space="preserve"> 3,865 </w:t>
            </w:r>
          </w:p>
        </w:tc>
      </w:tr>
      <w:tr w:rsidR="00535B41" w:rsidRPr="00AB5C78" w14:paraId="124F8282"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34" w:type="dxa"/>
            <w:noWrap/>
            <w:hideMark/>
          </w:tcPr>
          <w:p w14:paraId="5E56A951"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Implied change in participation</w:t>
            </w:r>
          </w:p>
        </w:tc>
        <w:tc>
          <w:tcPr>
            <w:tcW w:w="0" w:type="auto"/>
            <w:noWrap/>
            <w:hideMark/>
          </w:tcPr>
          <w:p w14:paraId="3DAA5EAB" w14:textId="2C80AF5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-113.9</w:t>
            </w:r>
          </w:p>
        </w:tc>
        <w:tc>
          <w:tcPr>
            <w:tcW w:w="0" w:type="auto"/>
            <w:noWrap/>
            <w:hideMark/>
          </w:tcPr>
          <w:p w14:paraId="4BFEA295" w14:textId="61BE26E7"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202.7</w:t>
            </w:r>
          </w:p>
        </w:tc>
        <w:tc>
          <w:tcPr>
            <w:tcW w:w="0" w:type="auto"/>
            <w:noWrap/>
            <w:hideMark/>
          </w:tcPr>
          <w:p w14:paraId="02B00D84" w14:textId="03EFD82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-37.4</w:t>
            </w:r>
          </w:p>
        </w:tc>
        <w:tc>
          <w:tcPr>
            <w:tcW w:w="969" w:type="dxa"/>
            <w:noWrap/>
            <w:hideMark/>
          </w:tcPr>
          <w:p w14:paraId="37033D32" w14:textId="30DD55C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66CA7">
              <w:rPr>
                <w:rFonts w:ascii="Arial Narrow" w:hAnsi="Arial Narrow"/>
              </w:rPr>
              <w:t>151.7</w:t>
            </w:r>
          </w:p>
        </w:tc>
      </w:tr>
    </w:tbl>
    <w:p w14:paraId="0F4E6974" w14:textId="77777777" w:rsidR="0036738B" w:rsidRPr="008154CC" w:rsidRDefault="0036738B" w:rsidP="0036738B">
      <w:pPr>
        <w:ind w:left="270" w:firstLine="450"/>
        <w:rPr>
          <w:i/>
          <w:sz w:val="18"/>
          <w:szCs w:val="18"/>
        </w:rPr>
      </w:pPr>
      <w:r w:rsidRPr="008154CC">
        <w:rPr>
          <w:i/>
          <w:sz w:val="18"/>
          <w:szCs w:val="18"/>
        </w:rPr>
        <w:t>Source: Guidehouse analysis of Nicor Gas program tracking and customer billing data.</w:t>
      </w:r>
    </w:p>
    <w:bookmarkEnd w:id="93"/>
    <w:bookmarkEnd w:id="94"/>
    <w:bookmarkEnd w:id="95"/>
    <w:p w14:paraId="624304BB" w14:textId="672B2F89" w:rsidR="00CB29B0" w:rsidRDefault="00CB29B0" w:rsidP="00CB29B0">
      <w:pPr>
        <w:pStyle w:val="Caption"/>
      </w:pPr>
    </w:p>
    <w:p w14:paraId="4C9E79E1" w14:textId="6E47DCC0" w:rsidR="00237ED4" w:rsidRDefault="00571E01" w:rsidP="00237ED4">
      <w:pPr>
        <w:pStyle w:val="Caption"/>
      </w:pPr>
      <w:bookmarkStart w:id="97" w:name="_Ref164683044"/>
      <w:bookmarkStart w:id="98" w:name="_Toc165318886"/>
      <w:r>
        <w:t xml:space="preserve">Table </w:t>
      </w:r>
      <w:r w:rsidR="00372B72">
        <w:fldChar w:fldCharType="begin"/>
      </w:r>
      <w:r w:rsidR="00372B72">
        <w:instrText xml:space="preserve"> STYLEREF 5 \s </w:instrText>
      </w:r>
      <w:r w:rsidR="00372B72">
        <w:fldChar w:fldCharType="separate"/>
      </w:r>
      <w:r>
        <w:rPr>
          <w:noProof/>
        </w:rPr>
        <w:t>B</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Pr>
          <w:noProof/>
        </w:rPr>
        <w:t>4</w:t>
      </w:r>
      <w:r w:rsidR="00372B72">
        <w:rPr>
          <w:noProof/>
        </w:rPr>
        <w:fldChar w:fldCharType="end"/>
      </w:r>
      <w:bookmarkEnd w:id="97"/>
      <w:r>
        <w:t xml:space="preserve">. </w:t>
      </w:r>
      <w:r w:rsidR="00237ED4" w:rsidRPr="00182C2C">
        <w:t xml:space="preserve">2023 Uplift Adjustment Details, Wave </w:t>
      </w:r>
      <w:r w:rsidR="00237ED4">
        <w:t>3</w:t>
      </w:r>
      <w:bookmarkEnd w:id="98"/>
    </w:p>
    <w:tbl>
      <w:tblPr>
        <w:tblStyle w:val="EnergyTable1"/>
        <w:tblW w:w="9360" w:type="dxa"/>
        <w:tblLayout w:type="fixed"/>
        <w:tblLook w:val="04A0" w:firstRow="1" w:lastRow="0" w:firstColumn="1" w:lastColumn="0" w:noHBand="0" w:noVBand="1"/>
      </w:tblPr>
      <w:tblGrid>
        <w:gridCol w:w="4230"/>
        <w:gridCol w:w="918"/>
        <w:gridCol w:w="1093"/>
        <w:gridCol w:w="985"/>
        <w:gridCol w:w="1039"/>
        <w:gridCol w:w="1095"/>
      </w:tblGrid>
      <w:tr w:rsidR="00CB29B0" w:rsidRPr="007F1322" w14:paraId="10D26CAC" w14:textId="77777777" w:rsidTr="00DE1FE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0195E7D" w14:textId="77777777" w:rsidR="00CB29B0" w:rsidRPr="007210AD" w:rsidRDefault="00CB29B0" w:rsidP="00757E7A">
            <w:pPr>
              <w:keepNext/>
              <w:keepLines/>
              <w:jc w:val="left"/>
              <w:rPr>
                <w:rFonts w:ascii="Arial Narrow" w:hAnsi="Arial Narrow" w:cs="Calibri"/>
              </w:rPr>
            </w:pPr>
            <w:r w:rsidRPr="007210AD">
              <w:rPr>
                <w:rFonts w:ascii="Arial Narrow" w:hAnsi="Arial Narrow" w:cs="Calibri"/>
              </w:rPr>
              <w:t>Program</w:t>
            </w:r>
          </w:p>
        </w:tc>
        <w:tc>
          <w:tcPr>
            <w:tcW w:w="918" w:type="dxa"/>
            <w:noWrap/>
            <w:hideMark/>
          </w:tcPr>
          <w:p w14:paraId="284AB21C"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ESK</w:t>
            </w:r>
          </w:p>
        </w:tc>
        <w:tc>
          <w:tcPr>
            <w:tcW w:w="1093" w:type="dxa"/>
            <w:noWrap/>
            <w:hideMark/>
          </w:tcPr>
          <w:p w14:paraId="549FA7B3"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HEER</w:t>
            </w:r>
          </w:p>
        </w:tc>
        <w:tc>
          <w:tcPr>
            <w:tcW w:w="985" w:type="dxa"/>
            <w:noWrap/>
            <w:hideMark/>
          </w:tcPr>
          <w:p w14:paraId="0BF15B77"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HES</w:t>
            </w:r>
          </w:p>
        </w:tc>
        <w:tc>
          <w:tcPr>
            <w:tcW w:w="1039" w:type="dxa"/>
            <w:noWrap/>
            <w:hideMark/>
          </w:tcPr>
          <w:p w14:paraId="454EAB1D"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IE</w:t>
            </w:r>
          </w:p>
        </w:tc>
        <w:tc>
          <w:tcPr>
            <w:tcW w:w="1095" w:type="dxa"/>
          </w:tcPr>
          <w:p w14:paraId="76074AED" w14:textId="77777777" w:rsidR="00CB29B0" w:rsidRPr="00F91DA8"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F91DA8">
              <w:rPr>
                <w:rFonts w:ascii="Arial Narrow" w:hAnsi="Arial Narrow" w:cs="Calibri"/>
              </w:rPr>
              <w:t>MF</w:t>
            </w:r>
          </w:p>
        </w:tc>
      </w:tr>
      <w:tr w:rsidR="00535B41" w:rsidRPr="00AB5C78" w14:paraId="1DBA6DED"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39FBEA6"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Median program savings</w:t>
            </w:r>
            <w:r>
              <w:rPr>
                <w:rFonts w:ascii="Arial Narrow" w:hAnsi="Arial Narrow" w:cs="Calibri"/>
                <w:color w:val="000000"/>
              </w:rPr>
              <w:t>,</w:t>
            </w:r>
            <w:r w:rsidRPr="007210AD">
              <w:rPr>
                <w:rFonts w:ascii="Arial Narrow" w:hAnsi="Arial Narrow" w:cs="Calibri"/>
                <w:color w:val="000000"/>
              </w:rPr>
              <w:t xml:space="preserve"> annual therm</w:t>
            </w:r>
            <w:r>
              <w:rPr>
                <w:rFonts w:ascii="Arial Narrow" w:hAnsi="Arial Narrow" w:cs="Calibri"/>
                <w:color w:val="000000"/>
              </w:rPr>
              <w:t>s</w:t>
            </w:r>
            <w:r w:rsidRPr="007210AD">
              <w:rPr>
                <w:rFonts w:ascii="Arial Narrow" w:hAnsi="Arial Narrow" w:cs="Calibri"/>
                <w:color w:val="000000"/>
              </w:rPr>
              <w:t xml:space="preserve"> per EE participant</w:t>
            </w:r>
          </w:p>
        </w:tc>
        <w:tc>
          <w:tcPr>
            <w:tcW w:w="918" w:type="dxa"/>
            <w:noWrap/>
            <w:hideMark/>
          </w:tcPr>
          <w:p w14:paraId="5261E109" w14:textId="589B17C8"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40.54</w:t>
            </w:r>
          </w:p>
        </w:tc>
        <w:tc>
          <w:tcPr>
            <w:tcW w:w="1093" w:type="dxa"/>
            <w:noWrap/>
            <w:hideMark/>
          </w:tcPr>
          <w:p w14:paraId="1003047E" w14:textId="0F5DD58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102.51</w:t>
            </w:r>
          </w:p>
        </w:tc>
        <w:tc>
          <w:tcPr>
            <w:tcW w:w="985" w:type="dxa"/>
            <w:noWrap/>
            <w:hideMark/>
          </w:tcPr>
          <w:p w14:paraId="5ED010AA" w14:textId="1CBFC2D3"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102.51</w:t>
            </w:r>
          </w:p>
        </w:tc>
        <w:tc>
          <w:tcPr>
            <w:tcW w:w="1039" w:type="dxa"/>
            <w:noWrap/>
            <w:hideMark/>
          </w:tcPr>
          <w:p w14:paraId="6F1C411E" w14:textId="7459DA8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25.477</w:t>
            </w:r>
          </w:p>
        </w:tc>
        <w:tc>
          <w:tcPr>
            <w:tcW w:w="1095" w:type="dxa"/>
          </w:tcPr>
          <w:p w14:paraId="29FB034D" w14:textId="23705D82"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2819.47</w:t>
            </w:r>
          </w:p>
        </w:tc>
      </w:tr>
      <w:tr w:rsidR="00535B41" w:rsidRPr="00AB5C78" w14:paraId="1F9A41C6"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1417E57B"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treatment customers</w:t>
            </w:r>
          </w:p>
        </w:tc>
        <w:tc>
          <w:tcPr>
            <w:tcW w:w="918" w:type="dxa"/>
            <w:noWrap/>
            <w:hideMark/>
          </w:tcPr>
          <w:p w14:paraId="73CB64FD" w14:textId="56212DB4"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189,348 </w:t>
            </w:r>
          </w:p>
        </w:tc>
        <w:tc>
          <w:tcPr>
            <w:tcW w:w="1093" w:type="dxa"/>
            <w:noWrap/>
            <w:hideMark/>
          </w:tcPr>
          <w:p w14:paraId="5CEE3EC9" w14:textId="1446F80C"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189,348 </w:t>
            </w:r>
          </w:p>
        </w:tc>
        <w:tc>
          <w:tcPr>
            <w:tcW w:w="985" w:type="dxa"/>
            <w:noWrap/>
            <w:hideMark/>
          </w:tcPr>
          <w:p w14:paraId="3AEB8F0B" w14:textId="6FE7D53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189,348 </w:t>
            </w:r>
          </w:p>
        </w:tc>
        <w:tc>
          <w:tcPr>
            <w:tcW w:w="1039" w:type="dxa"/>
            <w:noWrap/>
            <w:hideMark/>
          </w:tcPr>
          <w:p w14:paraId="79DB73A8" w14:textId="1C99ACB8"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189,348 </w:t>
            </w:r>
          </w:p>
        </w:tc>
        <w:tc>
          <w:tcPr>
            <w:tcW w:w="1095" w:type="dxa"/>
          </w:tcPr>
          <w:p w14:paraId="72F0EBFD" w14:textId="3043EFA4"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189,348 </w:t>
            </w:r>
          </w:p>
        </w:tc>
      </w:tr>
      <w:tr w:rsidR="00535B41" w:rsidRPr="00AB5C78" w14:paraId="0408FDAF"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BD9FBF4"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Number of control customer</w:t>
            </w:r>
          </w:p>
        </w:tc>
        <w:tc>
          <w:tcPr>
            <w:tcW w:w="918" w:type="dxa"/>
            <w:noWrap/>
            <w:hideMark/>
          </w:tcPr>
          <w:p w14:paraId="74A3B43A" w14:textId="64903053"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63,060 </w:t>
            </w:r>
          </w:p>
        </w:tc>
        <w:tc>
          <w:tcPr>
            <w:tcW w:w="1093" w:type="dxa"/>
            <w:noWrap/>
            <w:hideMark/>
          </w:tcPr>
          <w:p w14:paraId="47460730" w14:textId="6FC0D5B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63,060 </w:t>
            </w:r>
          </w:p>
        </w:tc>
        <w:tc>
          <w:tcPr>
            <w:tcW w:w="985" w:type="dxa"/>
            <w:noWrap/>
            <w:hideMark/>
          </w:tcPr>
          <w:p w14:paraId="648E887D" w14:textId="7077D1D2"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63,060 </w:t>
            </w:r>
          </w:p>
        </w:tc>
        <w:tc>
          <w:tcPr>
            <w:tcW w:w="1039" w:type="dxa"/>
            <w:noWrap/>
            <w:hideMark/>
          </w:tcPr>
          <w:p w14:paraId="4B170B43" w14:textId="430AAC0A"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63,060 </w:t>
            </w:r>
          </w:p>
        </w:tc>
        <w:tc>
          <w:tcPr>
            <w:tcW w:w="1095" w:type="dxa"/>
          </w:tcPr>
          <w:p w14:paraId="4E17D9BD" w14:textId="6991ECF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63,060 </w:t>
            </w:r>
          </w:p>
        </w:tc>
      </w:tr>
      <w:tr w:rsidR="00535B41" w:rsidRPr="00AB5C78" w14:paraId="420459D4"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7F8C3C4" w14:textId="14CB22DF"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w:t>
            </w:r>
            <w:r>
              <w:rPr>
                <w:rFonts w:ascii="Arial Narrow" w:hAnsi="Arial Narrow" w:cs="Calibri"/>
                <w:color w:val="000000"/>
              </w:rPr>
              <w:t>2023</w:t>
            </w:r>
          </w:p>
        </w:tc>
        <w:tc>
          <w:tcPr>
            <w:tcW w:w="918" w:type="dxa"/>
            <w:noWrap/>
            <w:hideMark/>
          </w:tcPr>
          <w:p w14:paraId="4D7B21F3" w14:textId="47976AED"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0.14</w:t>
            </w:r>
          </w:p>
        </w:tc>
        <w:tc>
          <w:tcPr>
            <w:tcW w:w="1093" w:type="dxa"/>
            <w:noWrap/>
            <w:hideMark/>
          </w:tcPr>
          <w:p w14:paraId="07D248C3" w14:textId="3FF3DD81"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0.70</w:t>
            </w:r>
          </w:p>
        </w:tc>
        <w:tc>
          <w:tcPr>
            <w:tcW w:w="985" w:type="dxa"/>
            <w:noWrap/>
            <w:hideMark/>
          </w:tcPr>
          <w:p w14:paraId="293E2061" w14:textId="60ACE1C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0.10</w:t>
            </w:r>
          </w:p>
        </w:tc>
        <w:tc>
          <w:tcPr>
            <w:tcW w:w="1039" w:type="dxa"/>
            <w:noWrap/>
            <w:hideMark/>
          </w:tcPr>
          <w:p w14:paraId="4F6D0447" w14:textId="517F88CE"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0.21</w:t>
            </w:r>
          </w:p>
        </w:tc>
        <w:tc>
          <w:tcPr>
            <w:tcW w:w="1095" w:type="dxa"/>
          </w:tcPr>
          <w:p w14:paraId="2449E5DF" w14:textId="175A969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52C57D1F"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3BF6EE3C" w14:textId="2ACC26AE"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w:t>
            </w:r>
            <w:r>
              <w:rPr>
                <w:rFonts w:ascii="Arial Narrow" w:hAnsi="Arial Narrow" w:cs="Calibri"/>
                <w:color w:val="000000"/>
              </w:rPr>
              <w:t>2023</w:t>
            </w:r>
          </w:p>
        </w:tc>
        <w:tc>
          <w:tcPr>
            <w:tcW w:w="918" w:type="dxa"/>
            <w:noWrap/>
            <w:hideMark/>
          </w:tcPr>
          <w:p w14:paraId="0B1E53EF" w14:textId="2CD8D5A3"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0.17</w:t>
            </w:r>
          </w:p>
        </w:tc>
        <w:tc>
          <w:tcPr>
            <w:tcW w:w="1093" w:type="dxa"/>
            <w:noWrap/>
            <w:hideMark/>
          </w:tcPr>
          <w:p w14:paraId="2586AD06" w14:textId="326E0342"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0.72</w:t>
            </w:r>
          </w:p>
        </w:tc>
        <w:tc>
          <w:tcPr>
            <w:tcW w:w="985" w:type="dxa"/>
            <w:noWrap/>
            <w:hideMark/>
          </w:tcPr>
          <w:p w14:paraId="3AA897AC" w14:textId="5BE3F7D6"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0.10</w:t>
            </w:r>
          </w:p>
        </w:tc>
        <w:tc>
          <w:tcPr>
            <w:tcW w:w="1039" w:type="dxa"/>
            <w:noWrap/>
            <w:hideMark/>
          </w:tcPr>
          <w:p w14:paraId="70CF68D0" w14:textId="6201D00C"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0.19</w:t>
            </w:r>
          </w:p>
        </w:tc>
        <w:tc>
          <w:tcPr>
            <w:tcW w:w="1095" w:type="dxa"/>
          </w:tcPr>
          <w:p w14:paraId="5FF4F0C4" w14:textId="1B0BFA6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73160F11"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D5DFA01" w14:textId="54A75EAC" w:rsidR="00535B41" w:rsidRPr="007210AD" w:rsidRDefault="00535B41" w:rsidP="00535B41">
            <w:pPr>
              <w:keepNext/>
              <w:keepLines/>
              <w:jc w:val="left"/>
              <w:rPr>
                <w:rFonts w:ascii="Arial Narrow" w:hAnsi="Arial Narrow" w:cs="Calibri"/>
                <w:color w:val="000000"/>
              </w:rPr>
            </w:pPr>
            <w:r>
              <w:rPr>
                <w:rFonts w:ascii="Arial Narrow" w:hAnsi="Arial Narrow" w:cs="Calibri"/>
                <w:color w:val="000000"/>
              </w:rPr>
              <w:t>2023</w:t>
            </w:r>
            <w:r w:rsidRPr="007210AD">
              <w:rPr>
                <w:rFonts w:ascii="Arial Narrow" w:hAnsi="Arial Narrow" w:cs="Calibri"/>
                <w:color w:val="000000"/>
              </w:rPr>
              <w:t xml:space="preserve"> savings difference</w:t>
            </w:r>
          </w:p>
        </w:tc>
        <w:tc>
          <w:tcPr>
            <w:tcW w:w="918" w:type="dxa"/>
            <w:noWrap/>
            <w:hideMark/>
          </w:tcPr>
          <w:p w14:paraId="194D0036" w14:textId="2FC50D1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-0.03</w:t>
            </w:r>
          </w:p>
        </w:tc>
        <w:tc>
          <w:tcPr>
            <w:tcW w:w="1093" w:type="dxa"/>
            <w:noWrap/>
            <w:hideMark/>
          </w:tcPr>
          <w:p w14:paraId="3A0DD73B" w14:textId="1EABB99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-0.02</w:t>
            </w:r>
          </w:p>
        </w:tc>
        <w:tc>
          <w:tcPr>
            <w:tcW w:w="985" w:type="dxa"/>
            <w:noWrap/>
            <w:hideMark/>
          </w:tcPr>
          <w:p w14:paraId="4006D471" w14:textId="2F56902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c>
          <w:tcPr>
            <w:tcW w:w="1039" w:type="dxa"/>
            <w:noWrap/>
            <w:hideMark/>
          </w:tcPr>
          <w:p w14:paraId="6110BD01" w14:textId="0F6CC903"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0.02</w:t>
            </w:r>
          </w:p>
        </w:tc>
        <w:tc>
          <w:tcPr>
            <w:tcW w:w="1095" w:type="dxa"/>
          </w:tcPr>
          <w:p w14:paraId="5A2FB3EA" w14:textId="492ACB04"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17C08239"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304CF111"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treatment customer, pre</w:t>
            </w:r>
          </w:p>
        </w:tc>
        <w:tc>
          <w:tcPr>
            <w:tcW w:w="918" w:type="dxa"/>
            <w:noWrap/>
            <w:hideMark/>
          </w:tcPr>
          <w:p w14:paraId="12C8F69D" w14:textId="6E48B01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0.55</w:t>
            </w:r>
          </w:p>
        </w:tc>
        <w:tc>
          <w:tcPr>
            <w:tcW w:w="1093" w:type="dxa"/>
            <w:noWrap/>
            <w:hideMark/>
          </w:tcPr>
          <w:p w14:paraId="42A9ABEB" w14:textId="1E361CEE"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1.02</w:t>
            </w:r>
          </w:p>
        </w:tc>
        <w:tc>
          <w:tcPr>
            <w:tcW w:w="985" w:type="dxa"/>
            <w:noWrap/>
            <w:hideMark/>
          </w:tcPr>
          <w:p w14:paraId="023529C5" w14:textId="3C05A7D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0.14</w:t>
            </w:r>
          </w:p>
        </w:tc>
        <w:tc>
          <w:tcPr>
            <w:tcW w:w="1039" w:type="dxa"/>
            <w:noWrap/>
            <w:hideMark/>
          </w:tcPr>
          <w:p w14:paraId="4C902469" w14:textId="0D6788E8"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0.09</w:t>
            </w:r>
          </w:p>
        </w:tc>
        <w:tc>
          <w:tcPr>
            <w:tcW w:w="1095" w:type="dxa"/>
          </w:tcPr>
          <w:p w14:paraId="50D1B2AD" w14:textId="72B8BEA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53D3CBD9"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F508359"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Avg</w:t>
            </w:r>
            <w:r>
              <w:rPr>
                <w:rFonts w:ascii="Arial Narrow" w:hAnsi="Arial Narrow" w:cs="Calibri"/>
                <w:color w:val="000000"/>
              </w:rPr>
              <w:t>.</w:t>
            </w:r>
            <w:r w:rsidRPr="007210AD">
              <w:rPr>
                <w:rFonts w:ascii="Arial Narrow" w:hAnsi="Arial Narrow" w:cs="Calibri"/>
                <w:color w:val="000000"/>
              </w:rPr>
              <w:t xml:space="preserve"> savings per HER control customer, pre</w:t>
            </w:r>
          </w:p>
        </w:tc>
        <w:tc>
          <w:tcPr>
            <w:tcW w:w="918" w:type="dxa"/>
            <w:noWrap/>
            <w:hideMark/>
          </w:tcPr>
          <w:p w14:paraId="5ECBC17A" w14:textId="018D2591"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0.59</w:t>
            </w:r>
          </w:p>
        </w:tc>
        <w:tc>
          <w:tcPr>
            <w:tcW w:w="1093" w:type="dxa"/>
            <w:noWrap/>
            <w:hideMark/>
          </w:tcPr>
          <w:p w14:paraId="49CA3E7C" w14:textId="174B6C87"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1.03</w:t>
            </w:r>
          </w:p>
        </w:tc>
        <w:tc>
          <w:tcPr>
            <w:tcW w:w="985" w:type="dxa"/>
            <w:noWrap/>
            <w:hideMark/>
          </w:tcPr>
          <w:p w14:paraId="6ECBFABA" w14:textId="69DB89D5"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0.11</w:t>
            </w:r>
          </w:p>
        </w:tc>
        <w:tc>
          <w:tcPr>
            <w:tcW w:w="1039" w:type="dxa"/>
            <w:noWrap/>
            <w:hideMark/>
          </w:tcPr>
          <w:p w14:paraId="225EB00D" w14:textId="08E0AF19"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0.08</w:t>
            </w:r>
          </w:p>
        </w:tc>
        <w:tc>
          <w:tcPr>
            <w:tcW w:w="1095" w:type="dxa"/>
          </w:tcPr>
          <w:p w14:paraId="2594AD94" w14:textId="49344CAF"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052B536D"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F402FCD"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Pre savings difference</w:t>
            </w:r>
          </w:p>
        </w:tc>
        <w:tc>
          <w:tcPr>
            <w:tcW w:w="918" w:type="dxa"/>
            <w:noWrap/>
            <w:hideMark/>
          </w:tcPr>
          <w:p w14:paraId="5C76C1DC" w14:textId="11041365"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-0.03</w:t>
            </w:r>
          </w:p>
        </w:tc>
        <w:tc>
          <w:tcPr>
            <w:tcW w:w="1093" w:type="dxa"/>
            <w:noWrap/>
            <w:hideMark/>
          </w:tcPr>
          <w:p w14:paraId="52F7EE76" w14:textId="245E4791"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-0.01</w:t>
            </w:r>
          </w:p>
        </w:tc>
        <w:tc>
          <w:tcPr>
            <w:tcW w:w="985" w:type="dxa"/>
            <w:noWrap/>
            <w:hideMark/>
          </w:tcPr>
          <w:p w14:paraId="0C840108" w14:textId="371C7F0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0.03</w:t>
            </w:r>
          </w:p>
        </w:tc>
        <w:tc>
          <w:tcPr>
            <w:tcW w:w="1039" w:type="dxa"/>
            <w:noWrap/>
            <w:hideMark/>
          </w:tcPr>
          <w:p w14:paraId="3F28536B" w14:textId="0CEAE33F"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0.01</w:t>
            </w:r>
          </w:p>
        </w:tc>
        <w:tc>
          <w:tcPr>
            <w:tcW w:w="1095" w:type="dxa"/>
          </w:tcPr>
          <w:p w14:paraId="0914FC9A" w14:textId="26CBCD19"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273C5944"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A2C27E7"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DID or POD statistic</w:t>
            </w:r>
          </w:p>
        </w:tc>
        <w:tc>
          <w:tcPr>
            <w:tcW w:w="918" w:type="dxa"/>
            <w:noWrap/>
            <w:hideMark/>
          </w:tcPr>
          <w:p w14:paraId="3B03C8AC" w14:textId="418411B0"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0.01</w:t>
            </w:r>
          </w:p>
        </w:tc>
        <w:tc>
          <w:tcPr>
            <w:tcW w:w="1093" w:type="dxa"/>
            <w:noWrap/>
            <w:hideMark/>
          </w:tcPr>
          <w:p w14:paraId="1B363CB6" w14:textId="6C8EA169"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-0.01</w:t>
            </w:r>
          </w:p>
        </w:tc>
        <w:tc>
          <w:tcPr>
            <w:tcW w:w="985" w:type="dxa"/>
            <w:noWrap/>
            <w:hideMark/>
          </w:tcPr>
          <w:p w14:paraId="0AC3DDE0" w14:textId="5BEAE671"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-0.03</w:t>
            </w:r>
          </w:p>
        </w:tc>
        <w:tc>
          <w:tcPr>
            <w:tcW w:w="1039" w:type="dxa"/>
            <w:noWrap/>
            <w:hideMark/>
          </w:tcPr>
          <w:p w14:paraId="17237FFE" w14:textId="15A4AFB2"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0.01</w:t>
            </w:r>
          </w:p>
        </w:tc>
        <w:tc>
          <w:tcPr>
            <w:tcW w:w="1095" w:type="dxa"/>
          </w:tcPr>
          <w:p w14:paraId="47F1EDCB" w14:textId="779BC12A"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0.00</w:t>
            </w:r>
          </w:p>
        </w:tc>
      </w:tr>
      <w:tr w:rsidR="00535B41" w:rsidRPr="00AB5C78" w14:paraId="32BB442C" w14:textId="77777777" w:rsidTr="00DE1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51395B58"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Savings attributable to other programs</w:t>
            </w:r>
            <w:r>
              <w:rPr>
                <w:rFonts w:ascii="Arial Narrow" w:hAnsi="Arial Narrow" w:cs="Calibri"/>
                <w:color w:val="000000"/>
              </w:rPr>
              <w:t>, t</w:t>
            </w:r>
            <w:r w:rsidRPr="007210AD">
              <w:rPr>
                <w:rFonts w:ascii="Arial Narrow" w:hAnsi="Arial Narrow" w:cs="Calibri"/>
                <w:color w:val="000000"/>
              </w:rPr>
              <w:t>herm</w:t>
            </w:r>
            <w:r>
              <w:rPr>
                <w:rFonts w:ascii="Arial Narrow" w:hAnsi="Arial Narrow" w:cs="Calibri"/>
                <w:color w:val="000000"/>
              </w:rPr>
              <w:t>s</w:t>
            </w:r>
          </w:p>
        </w:tc>
        <w:tc>
          <w:tcPr>
            <w:tcW w:w="918" w:type="dxa"/>
            <w:noWrap/>
            <w:hideMark/>
          </w:tcPr>
          <w:p w14:paraId="2072306A" w14:textId="35775844"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1,462 </w:t>
            </w:r>
          </w:p>
        </w:tc>
        <w:tc>
          <w:tcPr>
            <w:tcW w:w="1093" w:type="dxa"/>
            <w:noWrap/>
            <w:hideMark/>
          </w:tcPr>
          <w:p w14:paraId="57B80622" w14:textId="0EB9D507"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-2,229</w:t>
            </w:r>
          </w:p>
        </w:tc>
        <w:tc>
          <w:tcPr>
            <w:tcW w:w="985" w:type="dxa"/>
            <w:noWrap/>
            <w:hideMark/>
          </w:tcPr>
          <w:p w14:paraId="49D025F6" w14:textId="4CB9FF02"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-4,802</w:t>
            </w:r>
          </w:p>
        </w:tc>
        <w:tc>
          <w:tcPr>
            <w:tcW w:w="1039" w:type="dxa"/>
            <w:noWrap/>
            <w:hideMark/>
          </w:tcPr>
          <w:p w14:paraId="514D1F84" w14:textId="178B72A2"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2,093 </w:t>
            </w:r>
          </w:p>
        </w:tc>
        <w:tc>
          <w:tcPr>
            <w:tcW w:w="1095" w:type="dxa"/>
          </w:tcPr>
          <w:p w14:paraId="16BED9EE" w14:textId="2F1CDAD8" w:rsidR="00535B41" w:rsidRPr="00F66CA7" w:rsidRDefault="00535B41" w:rsidP="00535B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F66CA7">
              <w:rPr>
                <w:rFonts w:ascii="Arial Narrow" w:hAnsi="Arial Narrow"/>
              </w:rPr>
              <w:t xml:space="preserve"> -447</w:t>
            </w:r>
          </w:p>
        </w:tc>
      </w:tr>
      <w:tr w:rsidR="00535B41" w:rsidRPr="00AB5C78" w14:paraId="2018C769" w14:textId="77777777" w:rsidTr="00DE1FE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5533151D" w14:textId="77777777" w:rsidR="00535B41" w:rsidRPr="007210AD" w:rsidRDefault="00535B41" w:rsidP="00535B41">
            <w:pPr>
              <w:keepNext/>
              <w:keepLines/>
              <w:jc w:val="left"/>
              <w:rPr>
                <w:rFonts w:ascii="Arial Narrow" w:hAnsi="Arial Narrow" w:cs="Calibri"/>
                <w:color w:val="000000"/>
              </w:rPr>
            </w:pPr>
            <w:r w:rsidRPr="007210AD">
              <w:rPr>
                <w:rFonts w:ascii="Arial Narrow" w:hAnsi="Arial Narrow" w:cs="Calibri"/>
                <w:color w:val="000000"/>
              </w:rPr>
              <w:t>Implied change in participation</w:t>
            </w:r>
          </w:p>
        </w:tc>
        <w:tc>
          <w:tcPr>
            <w:tcW w:w="918" w:type="dxa"/>
            <w:noWrap/>
            <w:hideMark/>
          </w:tcPr>
          <w:p w14:paraId="23BDDE2A" w14:textId="7D6717DB"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36.1</w:t>
            </w:r>
          </w:p>
        </w:tc>
        <w:tc>
          <w:tcPr>
            <w:tcW w:w="1093" w:type="dxa"/>
            <w:noWrap/>
            <w:hideMark/>
          </w:tcPr>
          <w:p w14:paraId="4600C8ED" w14:textId="048CF1E6"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-21.7</w:t>
            </w:r>
          </w:p>
        </w:tc>
        <w:tc>
          <w:tcPr>
            <w:tcW w:w="985" w:type="dxa"/>
            <w:noWrap/>
            <w:hideMark/>
          </w:tcPr>
          <w:p w14:paraId="2728F382" w14:textId="6B11DD9C"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-46.8</w:t>
            </w:r>
          </w:p>
        </w:tc>
        <w:tc>
          <w:tcPr>
            <w:tcW w:w="1039" w:type="dxa"/>
            <w:noWrap/>
            <w:hideMark/>
          </w:tcPr>
          <w:p w14:paraId="691279AC" w14:textId="00F49237"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82.1</w:t>
            </w:r>
          </w:p>
        </w:tc>
        <w:tc>
          <w:tcPr>
            <w:tcW w:w="1095" w:type="dxa"/>
          </w:tcPr>
          <w:p w14:paraId="04D2A536" w14:textId="48B8870D" w:rsidR="00535B41" w:rsidRPr="00F66CA7" w:rsidRDefault="00535B41" w:rsidP="00535B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F66CA7">
              <w:rPr>
                <w:rFonts w:ascii="Arial Narrow" w:hAnsi="Arial Narrow"/>
              </w:rPr>
              <w:t>-0.2</w:t>
            </w:r>
          </w:p>
        </w:tc>
      </w:tr>
    </w:tbl>
    <w:p w14:paraId="71A6C2DC" w14:textId="77777777" w:rsidR="00CB29B0" w:rsidRPr="00F87055" w:rsidRDefault="00CB29B0" w:rsidP="00CB29B0">
      <w:pPr>
        <w:ind w:left="270"/>
        <w:rPr>
          <w:i/>
          <w:sz w:val="18"/>
          <w:szCs w:val="18"/>
        </w:rPr>
      </w:pPr>
      <w:r w:rsidRPr="00F87055">
        <w:rPr>
          <w:i/>
          <w:sz w:val="18"/>
          <w:szCs w:val="18"/>
        </w:rPr>
        <w:t>Source: Guidehouse analysis of Nicor Gas program tracking and customer billing data.</w:t>
      </w:r>
    </w:p>
    <w:p w14:paraId="258E6936" w14:textId="77777777" w:rsidR="00CB29B0" w:rsidRDefault="00CB29B0" w:rsidP="00CB29B0">
      <w:pPr>
        <w:sectPr w:rsidR="00CB29B0" w:rsidSect="00BB5E4D">
          <w:pgSz w:w="12240" w:h="15840" w:code="1"/>
          <w:pgMar w:top="1440" w:right="1440" w:bottom="1440" w:left="1440" w:header="720" w:footer="720" w:gutter="0"/>
          <w:pgNumType w:chapStyle="5"/>
          <w:cols w:space="720"/>
          <w:docGrid w:linePitch="360"/>
        </w:sectPr>
      </w:pPr>
    </w:p>
    <w:p w14:paraId="6366F6AF" w14:textId="77777777" w:rsidR="00CB29B0" w:rsidRDefault="00CB29B0" w:rsidP="00CB29B0">
      <w:pPr>
        <w:pStyle w:val="Heading5"/>
      </w:pPr>
      <w:bookmarkStart w:id="99" w:name="_Toc110421337"/>
      <w:bookmarkStart w:id="100" w:name="_Toc137824767"/>
      <w:bookmarkStart w:id="101" w:name="_Toc165145397"/>
      <w:r>
        <w:lastRenderedPageBreak/>
        <w:t>Program Specific Inputs for the Illinois TRC</w:t>
      </w:r>
      <w:bookmarkEnd w:id="99"/>
      <w:bookmarkEnd w:id="100"/>
      <w:bookmarkEnd w:id="101"/>
    </w:p>
    <w:p w14:paraId="00128F04" w14:textId="0116B11B" w:rsidR="00CB29B0" w:rsidRPr="003734A6" w:rsidRDefault="007E55D7" w:rsidP="00CB29B0">
      <w:r>
        <w:t>Table C-1</w:t>
      </w:r>
      <w:r w:rsidR="00CB29B0">
        <w:t>,</w:t>
      </w:r>
      <w:r w:rsidR="00CB29B0" w:rsidRPr="004D6C56">
        <w:t xml:space="preserve"> the Total Resource Cost </w:t>
      </w:r>
      <w:r w:rsidR="00CB29B0">
        <w:t xml:space="preserve">savings </w:t>
      </w:r>
      <w:r w:rsidR="00CB29B0" w:rsidRPr="004D6C56">
        <w:t xml:space="preserve">table for </w:t>
      </w:r>
      <w:r w:rsidR="00CB29B0">
        <w:t>Nicor Gas,</w:t>
      </w:r>
      <w:r w:rsidR="00CB29B0" w:rsidRPr="004D6C56">
        <w:t xml:space="preserve"> includes cost-effectiveness analysis inputs available at the time of finalizing the </w:t>
      </w:r>
      <w:r w:rsidR="00CB29B0">
        <w:t>202</w:t>
      </w:r>
      <w:r w:rsidR="0036738B">
        <w:t>3</w:t>
      </w:r>
      <w:r w:rsidR="00CB29B0" w:rsidRPr="004D6C56">
        <w:t xml:space="preserve"> HER impact evaluation report. </w:t>
      </w:r>
      <w:r w:rsidR="00CB29B0">
        <w:t>Currently, a</w:t>
      </w:r>
      <w:r w:rsidR="00CB29B0" w:rsidRPr="004D6C56">
        <w:t xml:space="preserve">dditional required cost data (e.g., measure costs, program level incentive and non-incentive costs) are not included in </w:t>
      </w:r>
      <w:r>
        <w:t xml:space="preserve">Table C-1 </w:t>
      </w:r>
      <w:r w:rsidR="00CB29B0" w:rsidRPr="004D6C56">
        <w:t xml:space="preserve">and will be provided to </w:t>
      </w:r>
      <w:r w:rsidR="00CB29B0">
        <w:t xml:space="preserve">include in the </w:t>
      </w:r>
      <w:r w:rsidR="00CB29B0" w:rsidRPr="004D6C56">
        <w:t>evaluation later.</w:t>
      </w:r>
    </w:p>
    <w:p w14:paraId="63052E18" w14:textId="77777777" w:rsidR="00CB29B0" w:rsidRPr="004D6C56" w:rsidRDefault="00CB29B0" w:rsidP="00CB29B0">
      <w:pPr>
        <w:rPr>
          <w:rFonts w:cs="Arial"/>
        </w:rPr>
      </w:pPr>
    </w:p>
    <w:p w14:paraId="58C63DEA" w14:textId="1417B062" w:rsidR="00CB29B0" w:rsidRDefault="00CB29B0" w:rsidP="00CB29B0">
      <w:pPr>
        <w:pStyle w:val="Caption"/>
      </w:pPr>
      <w:bookmarkStart w:id="102" w:name="_Ref74320086"/>
      <w:bookmarkStart w:id="103" w:name="_Toc110421346"/>
      <w:bookmarkStart w:id="104" w:name="_Toc133316584"/>
      <w:bookmarkStart w:id="105" w:name="_Toc137824743"/>
      <w:bookmarkStart w:id="106" w:name="_Toc165318887"/>
      <w:r>
        <w:t xml:space="preserve">Table </w:t>
      </w:r>
      <w:r w:rsidR="00372B72">
        <w:fldChar w:fldCharType="begin"/>
      </w:r>
      <w:r w:rsidR="00372B72">
        <w:instrText xml:space="preserve"> STYLEREF 5 \s </w:instrText>
      </w:r>
      <w:r w:rsidR="00372B72">
        <w:fldChar w:fldCharType="separate"/>
      </w:r>
      <w:r w:rsidR="009428DA">
        <w:rPr>
          <w:noProof/>
        </w:rPr>
        <w:t>C</w:t>
      </w:r>
      <w:r w:rsidR="00372B72">
        <w:rPr>
          <w:noProof/>
        </w:rPr>
        <w:fldChar w:fldCharType="end"/>
      </w:r>
      <w:r>
        <w:noBreakHyphen/>
      </w:r>
      <w:r w:rsidR="00372B72">
        <w:fldChar w:fldCharType="begin"/>
      </w:r>
      <w:r w:rsidR="00372B72">
        <w:instrText xml:space="preserve"> SEQ Table_Apx \* ARABIC \s 5 </w:instrText>
      </w:r>
      <w:r w:rsidR="00372B72">
        <w:fldChar w:fldCharType="separate"/>
      </w:r>
      <w:r w:rsidR="009428DA">
        <w:rPr>
          <w:noProof/>
        </w:rPr>
        <w:t>1</w:t>
      </w:r>
      <w:r w:rsidR="00372B72">
        <w:rPr>
          <w:noProof/>
        </w:rPr>
        <w:fldChar w:fldCharType="end"/>
      </w:r>
      <w:bookmarkEnd w:id="102"/>
      <w:r>
        <w:t xml:space="preserve">. </w:t>
      </w:r>
      <w:r w:rsidR="00456A85">
        <w:t xml:space="preserve">2023 </w:t>
      </w:r>
      <w:r w:rsidRPr="004D6C56">
        <w:t>Total Resource Cost Savings Summary</w:t>
      </w:r>
      <w:bookmarkEnd w:id="106"/>
      <w:r w:rsidRPr="004D6C56">
        <w:t xml:space="preserve"> </w:t>
      </w:r>
      <w:bookmarkStart w:id="107" w:name="_Hlk5199687"/>
      <w:bookmarkEnd w:id="103"/>
      <w:bookmarkEnd w:id="104"/>
      <w:bookmarkEnd w:id="105"/>
    </w:p>
    <w:tbl>
      <w:tblPr>
        <w:tblStyle w:val="EnergyTable1"/>
        <w:tblW w:w="6447" w:type="dxa"/>
        <w:tblLook w:val="04A0" w:firstRow="1" w:lastRow="0" w:firstColumn="1" w:lastColumn="0" w:noHBand="0" w:noVBand="1"/>
      </w:tblPr>
      <w:tblGrid>
        <w:gridCol w:w="5002"/>
        <w:gridCol w:w="1445"/>
      </w:tblGrid>
      <w:tr w:rsidR="00CB29B0" w:rsidRPr="00CF33FA" w14:paraId="159D5049" w14:textId="77777777" w:rsidTr="00757E7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2" w:type="dxa"/>
            <w:vAlign w:val="top"/>
            <w:hideMark/>
          </w:tcPr>
          <w:p w14:paraId="48421066" w14:textId="77777777" w:rsidR="00CB29B0" w:rsidRPr="00AA612E" w:rsidRDefault="00CB29B0" w:rsidP="00757E7A">
            <w:pPr>
              <w:keepNext/>
              <w:keepLines/>
              <w:jc w:val="left"/>
              <w:rPr>
                <w:rFonts w:ascii="Arial Narrow" w:hAnsi="Arial Narrow" w:cs="Arial"/>
                <w:color w:val="FFFFFF"/>
              </w:rPr>
            </w:pPr>
            <w:r w:rsidRPr="004E7945">
              <w:t>Savings Category</w:t>
            </w:r>
          </w:p>
        </w:tc>
        <w:tc>
          <w:tcPr>
            <w:tcW w:w="0" w:type="auto"/>
            <w:vAlign w:val="top"/>
            <w:hideMark/>
          </w:tcPr>
          <w:p w14:paraId="297C0374" w14:textId="77777777" w:rsidR="00CB29B0" w:rsidRPr="00307F73" w:rsidRDefault="00CB29B0" w:rsidP="00757E7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4E7945">
              <w:t xml:space="preserve">Nicor Gas </w:t>
            </w:r>
          </w:p>
        </w:tc>
      </w:tr>
      <w:tr w:rsidR="00CB29B0" w:rsidRPr="00F467D9" w14:paraId="5D39AB34" w14:textId="77777777" w:rsidTr="000536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2" w:type="dxa"/>
            <w:vAlign w:val="top"/>
          </w:tcPr>
          <w:p w14:paraId="4F1DBD83" w14:textId="508E599C" w:rsidR="00CB29B0" w:rsidRPr="009F32E6" w:rsidRDefault="00CB29B0" w:rsidP="00757E7A">
            <w:pPr>
              <w:jc w:val="left"/>
              <w:rPr>
                <w:rFonts w:ascii="Arial Narrow" w:hAnsi="Arial Narrow" w:cs="Arial"/>
                <w:color w:val="000000"/>
              </w:rPr>
            </w:pPr>
            <w:r w:rsidRPr="009F32E6">
              <w:rPr>
                <w:rFonts w:ascii="Arial Narrow" w:hAnsi="Arial Narrow" w:cs="Arial"/>
                <w:color w:val="000000"/>
              </w:rPr>
              <w:t>Number of Participants</w:t>
            </w:r>
            <w:r w:rsidR="0005369A">
              <w:rPr>
                <w:rFonts w:ascii="Arial Narrow" w:hAnsi="Arial Narrow" w:cs="Arial"/>
                <w:color w:val="000000"/>
              </w:rPr>
              <w:t>*</w:t>
            </w:r>
          </w:p>
        </w:tc>
        <w:tc>
          <w:tcPr>
            <w:tcW w:w="0" w:type="auto"/>
            <w:noWrap/>
          </w:tcPr>
          <w:p w14:paraId="42FC1EE2" w14:textId="48B5565E" w:rsidR="00CB29B0" w:rsidRPr="00F66CA7" w:rsidRDefault="0005369A" w:rsidP="0005369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487,139</w:t>
            </w:r>
          </w:p>
        </w:tc>
      </w:tr>
      <w:tr w:rsidR="00CB29B0" w:rsidRPr="00F467D9" w14:paraId="6D180D32" w14:textId="77777777" w:rsidTr="0005369A">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2" w:type="dxa"/>
            <w:vAlign w:val="top"/>
          </w:tcPr>
          <w:p w14:paraId="0869C156" w14:textId="77777777" w:rsidR="00CB29B0" w:rsidRPr="009F32E6" w:rsidRDefault="00CB29B0" w:rsidP="00757E7A">
            <w:pPr>
              <w:jc w:val="left"/>
              <w:rPr>
                <w:rFonts w:ascii="Arial Narrow" w:hAnsi="Arial Narrow" w:cs="Arial"/>
                <w:color w:val="000000"/>
              </w:rPr>
            </w:pPr>
            <w:r w:rsidRPr="009F32E6">
              <w:rPr>
                <w:rFonts w:ascii="Arial Narrow" w:hAnsi="Arial Narrow" w:cs="Arial"/>
                <w:color w:val="000000"/>
              </w:rPr>
              <w:t>Effective Useful Life (Years)</w:t>
            </w:r>
          </w:p>
        </w:tc>
        <w:tc>
          <w:tcPr>
            <w:tcW w:w="0" w:type="auto"/>
            <w:noWrap/>
          </w:tcPr>
          <w:p w14:paraId="5C2AB2BE" w14:textId="77777777" w:rsidR="00CB29B0" w:rsidRPr="00F66CA7" w:rsidRDefault="00CB29B0" w:rsidP="0005369A">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F66CA7">
              <w:rPr>
                <w:rFonts w:ascii="Arial Narrow" w:hAnsi="Arial Narrow" w:cs="Arial"/>
                <w:color w:val="000000"/>
              </w:rPr>
              <w:t>7</w:t>
            </w:r>
          </w:p>
        </w:tc>
      </w:tr>
      <w:tr w:rsidR="00CB29B0" w:rsidRPr="00787CC3" w14:paraId="4A55201F" w14:textId="77777777" w:rsidTr="000536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2" w:type="dxa"/>
            <w:vAlign w:val="top"/>
          </w:tcPr>
          <w:p w14:paraId="4EBF1FC3" w14:textId="77777777" w:rsidR="00CB29B0" w:rsidRPr="009F32E6" w:rsidRDefault="00CB29B0" w:rsidP="00757E7A">
            <w:pPr>
              <w:jc w:val="left"/>
              <w:rPr>
                <w:rFonts w:ascii="Arial Narrow" w:hAnsi="Arial Narrow" w:cs="Arial"/>
                <w:color w:val="000000"/>
              </w:rPr>
            </w:pPr>
            <w:r w:rsidRPr="009F32E6">
              <w:rPr>
                <w:rFonts w:ascii="Arial Narrow" w:hAnsi="Arial Narrow" w:cs="Arial"/>
                <w:color w:val="000000"/>
              </w:rPr>
              <w:t>Ex Ante Savings (therms)</w:t>
            </w:r>
          </w:p>
        </w:tc>
        <w:tc>
          <w:tcPr>
            <w:tcW w:w="0" w:type="auto"/>
            <w:noWrap/>
          </w:tcPr>
          <w:p w14:paraId="15326B90" w14:textId="632307BD" w:rsidR="00CB29B0" w:rsidRPr="00787CC3" w:rsidRDefault="00535B41" w:rsidP="0005369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87CC3">
              <w:rPr>
                <w:rFonts w:ascii="Arial Narrow" w:hAnsi="Arial Narrow" w:cs="Arial"/>
                <w:color w:val="000000"/>
              </w:rPr>
              <w:t>8</w:t>
            </w:r>
            <w:r w:rsidR="00982944" w:rsidRPr="00787CC3">
              <w:rPr>
                <w:rFonts w:ascii="Arial Narrow" w:hAnsi="Arial Narrow" w:cs="Arial"/>
                <w:color w:val="000000"/>
              </w:rPr>
              <w:t>47</w:t>
            </w:r>
            <w:r w:rsidRPr="00787CC3">
              <w:rPr>
                <w:rFonts w:ascii="Arial Narrow" w:hAnsi="Arial Narrow" w:cs="Arial"/>
                <w:color w:val="000000"/>
              </w:rPr>
              <w:t>,</w:t>
            </w:r>
            <w:r w:rsidR="00982944" w:rsidRPr="00787CC3">
              <w:rPr>
                <w:rFonts w:ascii="Arial Narrow" w:hAnsi="Arial Narrow" w:cs="Arial"/>
                <w:color w:val="000000"/>
              </w:rPr>
              <w:t>6</w:t>
            </w:r>
            <w:r w:rsidRPr="00787CC3">
              <w:rPr>
                <w:rFonts w:ascii="Arial Narrow" w:hAnsi="Arial Narrow" w:cs="Arial"/>
                <w:color w:val="000000"/>
              </w:rPr>
              <w:t>18</w:t>
            </w:r>
          </w:p>
        </w:tc>
      </w:tr>
      <w:tr w:rsidR="00CB29B0" w:rsidRPr="00F467D9" w14:paraId="1B1AEB80" w14:textId="77777777" w:rsidTr="0005369A">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2" w:type="dxa"/>
            <w:vAlign w:val="top"/>
          </w:tcPr>
          <w:p w14:paraId="3EBE1091" w14:textId="77777777" w:rsidR="00CB29B0" w:rsidRPr="009F32E6" w:rsidRDefault="00CB29B0" w:rsidP="00757E7A">
            <w:pPr>
              <w:jc w:val="left"/>
              <w:rPr>
                <w:rFonts w:ascii="Arial Narrow" w:hAnsi="Arial Narrow" w:cs="Arial"/>
                <w:color w:val="000000"/>
              </w:rPr>
            </w:pPr>
            <w:r w:rsidRPr="009F32E6">
              <w:rPr>
                <w:rFonts w:ascii="Arial Narrow" w:hAnsi="Arial Narrow" w:cs="Arial"/>
                <w:color w:val="000000"/>
              </w:rPr>
              <w:t>Verified Net Savings (therms)</w:t>
            </w:r>
          </w:p>
        </w:tc>
        <w:tc>
          <w:tcPr>
            <w:tcW w:w="0" w:type="auto"/>
            <w:noWrap/>
          </w:tcPr>
          <w:p w14:paraId="1C8E5335" w14:textId="7D5DE9C2" w:rsidR="00CB29B0" w:rsidRPr="0036738B" w:rsidRDefault="00535B41" w:rsidP="0005369A">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highlight w:val="yellow"/>
              </w:rPr>
            </w:pPr>
            <w:r w:rsidRPr="00F66CA7">
              <w:rPr>
                <w:rFonts w:ascii="Arial Narrow" w:hAnsi="Arial Narrow" w:cs="Arial"/>
                <w:color w:val="000000"/>
              </w:rPr>
              <w:t>5</w:t>
            </w:r>
            <w:r w:rsidR="00DA69A0" w:rsidRPr="00F66CA7">
              <w:rPr>
                <w:rFonts w:ascii="Arial Narrow" w:hAnsi="Arial Narrow" w:cs="Arial"/>
                <w:color w:val="000000"/>
              </w:rPr>
              <w:t>58</w:t>
            </w:r>
            <w:r w:rsidR="00CB29B0" w:rsidRPr="00F66CA7">
              <w:rPr>
                <w:rFonts w:ascii="Arial Narrow" w:hAnsi="Arial Narrow" w:cs="Arial"/>
                <w:color w:val="000000"/>
              </w:rPr>
              <w:t>,</w:t>
            </w:r>
            <w:r w:rsidR="00DA69A0" w:rsidRPr="00F66CA7">
              <w:rPr>
                <w:rFonts w:ascii="Arial Narrow" w:hAnsi="Arial Narrow" w:cs="Arial"/>
                <w:color w:val="000000"/>
              </w:rPr>
              <w:t>800</w:t>
            </w:r>
          </w:p>
        </w:tc>
      </w:tr>
    </w:tbl>
    <w:bookmarkEnd w:id="107"/>
    <w:p w14:paraId="7F3AA496" w14:textId="77777777" w:rsidR="0005369A" w:rsidRPr="0005369A" w:rsidRDefault="0005369A" w:rsidP="00CB29B0">
      <w:pPr>
        <w:pStyle w:val="Source"/>
        <w:ind w:left="990" w:firstLine="450"/>
        <w:rPr>
          <w:i w:val="0"/>
          <w:iCs/>
        </w:rPr>
      </w:pPr>
      <w:r w:rsidRPr="0005369A">
        <w:rPr>
          <w:i w:val="0"/>
          <w:iCs/>
        </w:rPr>
        <w:t>*Note that this count includes all three waves.</w:t>
      </w:r>
    </w:p>
    <w:p w14:paraId="72C95FC5" w14:textId="645DD82A" w:rsidR="00CB29B0" w:rsidRPr="00575EAD" w:rsidRDefault="00CB29B0" w:rsidP="00CB29B0">
      <w:pPr>
        <w:pStyle w:val="Source"/>
        <w:ind w:left="990" w:firstLine="450"/>
      </w:pPr>
      <w:r w:rsidRPr="004D6C56">
        <w:t xml:space="preserve">Source: </w:t>
      </w:r>
      <w:r>
        <w:t>Guidehouse</w:t>
      </w:r>
      <w:r w:rsidRPr="004D6C56">
        <w:t xml:space="preserve"> analysis of </w:t>
      </w:r>
      <w:r>
        <w:t>Nicor Gas</w:t>
      </w:r>
      <w:r w:rsidRPr="004D6C56">
        <w:t xml:space="preserve"> program tracking and customer billing data.</w:t>
      </w:r>
    </w:p>
    <w:p w14:paraId="326BF357" w14:textId="77777777" w:rsidR="00CB29B0" w:rsidRDefault="00CB29B0" w:rsidP="00CB29B0"/>
    <w:p w14:paraId="7263244C" w14:textId="77777777" w:rsidR="00CB29B0" w:rsidRDefault="00CB29B0" w:rsidP="00CB29B0"/>
    <w:p w14:paraId="607473B0" w14:textId="77777777" w:rsidR="00CB29B0" w:rsidRDefault="00CB29B0" w:rsidP="00CB29B0"/>
    <w:p w14:paraId="49E93610" w14:textId="77777777" w:rsidR="00F20206" w:rsidRDefault="00F20206" w:rsidP="00CB29B0">
      <w:pPr>
        <w:pStyle w:val="Instructions"/>
      </w:pPr>
    </w:p>
    <w:sectPr w:rsidR="00F20206" w:rsidSect="0030238F">
      <w:headerReference w:type="default" r:id="rId21"/>
      <w:footerReference w:type="default" r:id="rId22"/>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3B245B88" w14:textId="3093C31E" w:rsidR="00BF039A" w:rsidRDefault="00BF039A">
      <w:pPr>
        <w:pStyle w:val="FootnoteText"/>
      </w:pPr>
      <w:r>
        <w:rPr>
          <w:rStyle w:val="FootnoteReference"/>
        </w:rPr>
        <w:footnoteRef/>
      </w:r>
      <w:r>
        <w:t xml:space="preserve"> The implementer designates Wave 1, 2, and 3 as 201910_g, 202009_g, and 202011_g, respectively.</w:t>
      </w:r>
    </w:p>
  </w:footnote>
  <w:footnote w:id="2">
    <w:p w14:paraId="54002727" w14:textId="77777777" w:rsidR="00685124" w:rsidRPr="00AA612E" w:rsidRDefault="00685124" w:rsidP="00685124">
      <w:pPr>
        <w:pStyle w:val="FootnoteText"/>
        <w:rPr>
          <w:szCs w:val="18"/>
        </w:rPr>
      </w:pPr>
      <w:r w:rsidRPr="00AA612E">
        <w:rPr>
          <w:rStyle w:val="FootnoteReference"/>
          <w:szCs w:val="18"/>
        </w:rPr>
        <w:footnoteRef/>
      </w:r>
      <w:r w:rsidRPr="00AA612E">
        <w:rPr>
          <w:szCs w:val="18"/>
        </w:rPr>
        <w:t xml:space="preserve"> </w:t>
      </w:r>
      <w:r>
        <w:rPr>
          <w:rFonts w:cs="Arial"/>
          <w:szCs w:val="18"/>
        </w:rPr>
        <w:t xml:space="preserve">See Appendix </w:t>
      </w:r>
      <w:r>
        <w:rPr>
          <w:rFonts w:cs="Arial"/>
          <w:szCs w:val="18"/>
        </w:rPr>
        <w:fldChar w:fldCharType="begin"/>
      </w:r>
      <w:r>
        <w:rPr>
          <w:rFonts w:cs="Arial"/>
          <w:szCs w:val="18"/>
        </w:rPr>
        <w:instrText xml:space="preserve"> REF _Ref33181676 \n \h </w:instrText>
      </w:r>
      <w:r>
        <w:rPr>
          <w:rFonts w:cs="Arial"/>
          <w:szCs w:val="18"/>
        </w:rPr>
      </w:r>
      <w:r>
        <w:rPr>
          <w:rFonts w:cs="Arial"/>
          <w:szCs w:val="18"/>
        </w:rPr>
        <w:fldChar w:fldCharType="separate"/>
      </w:r>
      <w:r>
        <w:rPr>
          <w:rFonts w:cs="Arial"/>
          <w:szCs w:val="18"/>
        </w:rPr>
        <w:t>A.1.3</w:t>
      </w:r>
      <w:r>
        <w:rPr>
          <w:rFonts w:cs="Arial"/>
          <w:szCs w:val="18"/>
        </w:rPr>
        <w:fldChar w:fldCharType="end"/>
      </w:r>
      <w:r w:rsidRPr="00AA612E">
        <w:rPr>
          <w:rFonts w:cs="Arial"/>
          <w:szCs w:val="18"/>
        </w:rPr>
        <w:t>.</w:t>
      </w:r>
    </w:p>
  </w:footnote>
  <w:footnote w:id="3">
    <w:p w14:paraId="24EAF8CF" w14:textId="7B98D550" w:rsidR="00685124" w:rsidRPr="00AA612E" w:rsidRDefault="00685124" w:rsidP="00685124">
      <w:pPr>
        <w:pStyle w:val="FootnoteText"/>
        <w:rPr>
          <w:szCs w:val="18"/>
        </w:rPr>
      </w:pPr>
      <w:r w:rsidRPr="00AA612E">
        <w:rPr>
          <w:rStyle w:val="FootnoteReference"/>
          <w:szCs w:val="18"/>
        </w:rPr>
        <w:footnoteRef/>
      </w:r>
      <w:r w:rsidRPr="00AA612E">
        <w:rPr>
          <w:szCs w:val="18"/>
        </w:rPr>
        <w:t xml:space="preserve"> See </w:t>
      </w:r>
      <w:r>
        <w:rPr>
          <w:szCs w:val="18"/>
        </w:rPr>
        <w:t>IL-</w:t>
      </w:r>
      <w:r w:rsidRPr="00AA612E">
        <w:rPr>
          <w:szCs w:val="18"/>
        </w:rPr>
        <w:t xml:space="preserve">TRM, Measure 6.1.1, Volume 4, Version </w:t>
      </w:r>
      <w:proofErr w:type="gramStart"/>
      <w:r>
        <w:rPr>
          <w:szCs w:val="18"/>
        </w:rPr>
        <w:t>1</w:t>
      </w:r>
      <w:r w:rsidR="008B2593">
        <w:rPr>
          <w:szCs w:val="18"/>
        </w:rPr>
        <w:t>1</w:t>
      </w:r>
      <w:r w:rsidRPr="00AA612E">
        <w:rPr>
          <w:szCs w:val="18"/>
        </w:rPr>
        <w:t>.0</w:t>
      </w:r>
      <w:proofErr w:type="gramEnd"/>
      <w:r>
        <w:rPr>
          <w:szCs w:val="18"/>
        </w:rPr>
        <w:t xml:space="preserve"> </w:t>
      </w:r>
      <w:r>
        <w:t xml:space="preserve">and </w:t>
      </w:r>
      <w:r w:rsidRPr="008D785F">
        <w:t xml:space="preserve">Appendix </w:t>
      </w:r>
      <w:r w:rsidRPr="008D785F">
        <w:fldChar w:fldCharType="begin"/>
      </w:r>
      <w:r w:rsidRPr="008D785F">
        <w:instrText xml:space="preserve"> REF _Ref64938129 \n \h  \* MERGEFORMAT </w:instrText>
      </w:r>
      <w:r w:rsidRPr="008D785F">
        <w:fldChar w:fldCharType="separate"/>
      </w:r>
      <w:r w:rsidRPr="008D785F">
        <w:t>A.1.4</w:t>
      </w:r>
      <w:r w:rsidRPr="008D785F">
        <w:fldChar w:fldCharType="end"/>
      </w:r>
      <w:r w:rsidRPr="008D785F">
        <w:t>.</w:t>
      </w:r>
    </w:p>
  </w:footnote>
  <w:footnote w:id="4">
    <w:p w14:paraId="1D856BDA" w14:textId="307F7C9B" w:rsidR="004B1E1E" w:rsidRDefault="004B1E1E">
      <w:pPr>
        <w:pStyle w:val="FootnoteText"/>
      </w:pPr>
      <w:r>
        <w:rPr>
          <w:rStyle w:val="FootnoteReference"/>
        </w:rPr>
        <w:footnoteRef/>
      </w:r>
      <w:r>
        <w:t xml:space="preserve"> Smaller waves tend to have larger standard errors because there is less data feeding into the estimate. However, Wave 3 is a healthy size with 186,105 customers.</w:t>
      </w:r>
    </w:p>
  </w:footnote>
  <w:footnote w:id="5">
    <w:p w14:paraId="0118D7AA" w14:textId="0F909853" w:rsidR="00CB29B0" w:rsidRPr="00AA612E" w:rsidRDefault="00CB29B0" w:rsidP="00CB29B0">
      <w:pPr>
        <w:pStyle w:val="FootnoteText"/>
        <w:rPr>
          <w:szCs w:val="18"/>
        </w:rPr>
      </w:pPr>
      <w:r w:rsidRPr="00AA612E">
        <w:rPr>
          <w:rStyle w:val="FootnoteReference"/>
          <w:szCs w:val="18"/>
        </w:rPr>
        <w:footnoteRef/>
      </w:r>
      <w:r w:rsidRPr="00AA612E">
        <w:rPr>
          <w:szCs w:val="18"/>
        </w:rPr>
        <w:t xml:space="preserve"> Across the two models, the parameter estima</w:t>
      </w:r>
      <w:r w:rsidRPr="003010AA">
        <w:rPr>
          <w:szCs w:val="18"/>
        </w:rPr>
        <w:t>tes were not statistically different</w:t>
      </w:r>
      <w:r>
        <w:rPr>
          <w:szCs w:val="18"/>
        </w:rPr>
        <w:t xml:space="preserve"> for either wave</w:t>
      </w:r>
      <w:r w:rsidRPr="003010AA">
        <w:rPr>
          <w:szCs w:val="18"/>
        </w:rPr>
        <w:t>; that is, t</w:t>
      </w:r>
      <w:r w:rsidRPr="00AA612E">
        <w:rPr>
          <w:szCs w:val="18"/>
        </w:rPr>
        <w:t xml:space="preserve">he estimates for each model are within the 90% confidence bounds for the other model. This </w:t>
      </w:r>
      <w:r w:rsidR="00D22460">
        <w:rPr>
          <w:szCs w:val="18"/>
        </w:rPr>
        <w:t xml:space="preserve">result </w:t>
      </w:r>
      <w:r w:rsidRPr="00AA612E">
        <w:rPr>
          <w:szCs w:val="18"/>
        </w:rPr>
        <w:t>supports the methodological approach, and indicates the results are robust.</w:t>
      </w:r>
    </w:p>
  </w:footnote>
  <w:footnote w:id="6">
    <w:p w14:paraId="311649F5" w14:textId="77777777" w:rsidR="00CB29B0" w:rsidRDefault="00CB29B0" w:rsidP="00CB29B0">
      <w:pPr>
        <w:pStyle w:val="FootnoteText"/>
      </w:pPr>
      <w:r>
        <w:rPr>
          <w:rStyle w:val="FootnoteReference"/>
        </w:rPr>
        <w:footnoteRef/>
      </w:r>
      <w:r>
        <w:t xml:space="preserve"> One likely reason for this situation is that the LDV model embodies more flexibility than the LFER model, in that the former allows the individual customer control variable to vary seasonally while the latter does not – a particularly attractive feature given the highly seasonal nature of natural gas usage. The LFER model treats all unobserved inter-household heterogeneity affecting households’ energy usage as time-invariant, while the LDV model uses lagged individual controls that can vary over time.</w:t>
      </w:r>
    </w:p>
  </w:footnote>
  <w:footnote w:id="7">
    <w:p w14:paraId="3F20147F" w14:textId="77777777" w:rsidR="00CB29B0" w:rsidRDefault="00CB29B0" w:rsidP="00CB29B0">
      <w:pPr>
        <w:pStyle w:val="FootnoteText"/>
      </w:pPr>
      <w:r>
        <w:rPr>
          <w:rStyle w:val="FootnoteReference"/>
        </w:rPr>
        <w:footnoteRef/>
      </w:r>
      <w:r>
        <w:t xml:space="preserve"> </w:t>
      </w:r>
      <w:proofErr w:type="spellStart"/>
      <w:r>
        <w:t>Allcott</w:t>
      </w:r>
      <w:proofErr w:type="spellEnd"/>
      <w:r>
        <w:t xml:space="preserve">, </w:t>
      </w:r>
      <w:proofErr w:type="gramStart"/>
      <w:r>
        <w:t>Hunt</w:t>
      </w:r>
      <w:proofErr w:type="gramEnd"/>
      <w:r>
        <w:t xml:space="preserve"> and Todd Rogers, 2014. “The Short-Run and Long-Run Effects of Behavioral Intervention: Experimental Evidence from Energy Conservation.” </w:t>
      </w:r>
      <w:r>
        <w:rPr>
          <w:i/>
        </w:rPr>
        <w:t>American Economic Review</w:t>
      </w:r>
      <w:r>
        <w:t>, 104(10): 3003-37.</w:t>
      </w:r>
    </w:p>
  </w:footnote>
  <w:footnote w:id="8">
    <w:p w14:paraId="4CBF1EF8" w14:textId="77777777" w:rsidR="00CB29B0" w:rsidRPr="00AA612E" w:rsidRDefault="00CB29B0" w:rsidP="00CB29B0">
      <w:pPr>
        <w:pStyle w:val="FootnoteText"/>
        <w:rPr>
          <w:szCs w:val="18"/>
        </w:rPr>
      </w:pPr>
      <w:r w:rsidRPr="00AA612E">
        <w:rPr>
          <w:rStyle w:val="FootnoteReference"/>
          <w:szCs w:val="18"/>
        </w:rPr>
        <w:footnoteRef/>
      </w:r>
      <w:r w:rsidRPr="00AA612E">
        <w:rPr>
          <w:szCs w:val="18"/>
        </w:rPr>
        <w:t xml:space="preserve"> In other words, if there are </w:t>
      </w:r>
      <w:r w:rsidRPr="00AA612E">
        <w:rPr>
          <w:i/>
          <w:szCs w:val="18"/>
        </w:rPr>
        <w:t>T</w:t>
      </w:r>
      <w:r w:rsidRPr="00AA612E">
        <w:rPr>
          <w:szCs w:val="18"/>
        </w:rPr>
        <w:t xml:space="preserve"> post-program months, there are </w:t>
      </w:r>
      <w:r w:rsidRPr="00AA612E">
        <w:rPr>
          <w:i/>
          <w:szCs w:val="18"/>
        </w:rPr>
        <w:t>T</w:t>
      </w:r>
      <w:r w:rsidRPr="00AA612E">
        <w:rPr>
          <w:szCs w:val="18"/>
        </w:rPr>
        <w:t xml:space="preserve"> monthly dummy variables in the model, with the dummy variable </w:t>
      </w:r>
      <w:proofErr w:type="spellStart"/>
      <w:r w:rsidRPr="00AA612E">
        <w:rPr>
          <w:i/>
          <w:szCs w:val="18"/>
        </w:rPr>
        <w:t>Month</w:t>
      </w:r>
      <w:r w:rsidRPr="00AA612E">
        <w:rPr>
          <w:i/>
          <w:szCs w:val="18"/>
          <w:vertAlign w:val="subscript"/>
        </w:rPr>
        <w:t>tt</w:t>
      </w:r>
      <w:proofErr w:type="spellEnd"/>
      <w:r w:rsidRPr="00AA612E">
        <w:rPr>
          <w:i/>
          <w:szCs w:val="18"/>
          <w:vertAlign w:val="subscript"/>
        </w:rPr>
        <w:t xml:space="preserve"> </w:t>
      </w:r>
      <w:r w:rsidRPr="00AA612E">
        <w:rPr>
          <w:szCs w:val="18"/>
        </w:rPr>
        <w:t>the only one to take a value of 1 at time t. These are, in other words, monthly fixed effects.</w:t>
      </w:r>
    </w:p>
  </w:footnote>
  <w:footnote w:id="9">
    <w:p w14:paraId="5B13F58C" w14:textId="77777777" w:rsidR="00CB29B0" w:rsidRDefault="00CB29B0" w:rsidP="00CB29B0">
      <w:pPr>
        <w:pStyle w:val="FootnoteText"/>
      </w:pPr>
      <w:r>
        <w:rPr>
          <w:rStyle w:val="FootnoteReference"/>
        </w:rPr>
        <w:footnoteRef/>
      </w:r>
      <w:r>
        <w:t xml:space="preserve"> It is not possible to avoid double-counting of the savings generated by programs for which tracking data are not available, such as upstream programs.</w:t>
      </w:r>
    </w:p>
  </w:footnote>
  <w:footnote w:id="10">
    <w:p w14:paraId="27BFD374" w14:textId="77777777" w:rsidR="00CB29B0" w:rsidRDefault="00CB29B0" w:rsidP="00CB29B0">
      <w:pPr>
        <w:pStyle w:val="FootnoteText"/>
      </w:pPr>
      <w:r>
        <w:rPr>
          <w:rStyle w:val="FootnoteReference"/>
        </w:rPr>
        <w:footnoteRef/>
      </w:r>
      <w:r>
        <w:t xml:space="preserve"> Where the averages are calculated over all treatment and control group customers, not just those who participated in other EE programs.</w:t>
      </w:r>
    </w:p>
  </w:footnote>
  <w:footnote w:id="11">
    <w:p w14:paraId="051FC995" w14:textId="77777777" w:rsidR="00CB29B0" w:rsidRDefault="00CB29B0" w:rsidP="00CB29B0">
      <w:pPr>
        <w:pStyle w:val="FootnoteText"/>
      </w:pPr>
      <w:r>
        <w:rPr>
          <w:rStyle w:val="FootnoteReference"/>
        </w:rPr>
        <w:footnoteRef/>
      </w:r>
      <w:r>
        <w:t xml:space="preserve"> Other EE program savings were pro-rated to the program participation date assuming a flat load shape. </w:t>
      </w:r>
    </w:p>
  </w:footnote>
  <w:footnote w:id="12">
    <w:p w14:paraId="2F8514B3" w14:textId="51102DE2" w:rsidR="00CB29B0" w:rsidRDefault="00CB29B0" w:rsidP="00CB29B0">
      <w:pPr>
        <w:pStyle w:val="FootnoteText"/>
      </w:pPr>
      <w:r>
        <w:rPr>
          <w:rStyle w:val="FootnoteReference"/>
        </w:rPr>
        <w:footnoteRef/>
      </w:r>
      <w:r>
        <w:t xml:space="preserve"> Including single family, multifamily, and public housing authority</w:t>
      </w:r>
      <w:r w:rsidR="00BF039A">
        <w:t>.</w:t>
      </w:r>
    </w:p>
  </w:footnote>
  <w:footnote w:id="13">
    <w:p w14:paraId="1F77DA04" w14:textId="77777777" w:rsidR="00CB29B0" w:rsidRDefault="00CB29B0" w:rsidP="00CB29B0">
      <w:pPr>
        <w:pStyle w:val="FootnoteText"/>
      </w:pPr>
      <w:r>
        <w:rPr>
          <w:rStyle w:val="FootnoteReference"/>
        </w:rPr>
        <w:footnoteRef/>
      </w:r>
      <w:r>
        <w:t xml:space="preserve"> Tracking data files are set up this way because, in conformity with the IL-TRM, Section 3.2, savings are first-year savings, not lifetime savings.</w:t>
      </w:r>
    </w:p>
  </w:footnote>
  <w:footnote w:id="14">
    <w:p w14:paraId="53F38DC4" w14:textId="77777777" w:rsidR="00CB29B0" w:rsidRDefault="00CB29B0" w:rsidP="00CB29B0">
      <w:pPr>
        <w:pStyle w:val="FootnoteText"/>
      </w:pPr>
      <w:r>
        <w:rPr>
          <w:rStyle w:val="FootnoteReference"/>
        </w:rPr>
        <w:footnoteRef/>
      </w:r>
      <w:r>
        <w:t xml:space="preserve"> Because HER Program participants are dropped from that program when they move, other EE programs’ savings are no longer captured in the HER Program savings from that point forward.</w:t>
      </w:r>
    </w:p>
  </w:footnote>
  <w:footnote w:id="15">
    <w:p w14:paraId="11A853D4" w14:textId="162E2086" w:rsidR="00F33709" w:rsidRDefault="00F33709" w:rsidP="00F33709">
      <w:pPr>
        <w:pStyle w:val="FootnoteText"/>
      </w:pPr>
      <w:r>
        <w:rPr>
          <w:rStyle w:val="FootnoteReference"/>
        </w:rPr>
        <w:footnoteRef/>
      </w:r>
      <w:r>
        <w:t xml:space="preserve"> For all waves, Guidehouse used the actual savings from CY2020 and CY2021 to subtract from CY2023 actual savings. Normalized savings were not used (and were not even calculated for CY2022).</w:t>
      </w:r>
    </w:p>
  </w:footnote>
  <w:footnote w:id="16">
    <w:p w14:paraId="14A9110C" w14:textId="684882C0" w:rsidR="00F33709" w:rsidRPr="00F33709" w:rsidRDefault="00F33709">
      <w:pPr>
        <w:pStyle w:val="FootnoteText"/>
      </w:pPr>
      <w:r>
        <w:rPr>
          <w:rStyle w:val="FootnoteReference"/>
        </w:rPr>
        <w:footnoteRef/>
      </w:r>
      <w:r>
        <w:t xml:space="preserve"> Documentation on this realization rate was shared with Nicor</w:t>
      </w:r>
      <w:r w:rsidR="00C6557C">
        <w:t xml:space="preserve"> Gas</w:t>
      </w:r>
      <w:r>
        <w:t xml:space="preserve">, the program implementer, and Illinois Commerce Commission staff in June 2023 in </w:t>
      </w:r>
      <w:r>
        <w:rPr>
          <w:i/>
          <w:iCs/>
        </w:rPr>
        <w:t>Retention Rates- Behavior Savings_2023-06-16.pptx</w:t>
      </w:r>
      <w:r>
        <w:t>.</w:t>
      </w:r>
    </w:p>
  </w:footnote>
  <w:footnote w:id="17">
    <w:p w14:paraId="67574410" w14:textId="5BC8B952" w:rsidR="00CB29B0" w:rsidRPr="00AA612E" w:rsidRDefault="00CB29B0" w:rsidP="00CB29B0">
      <w:pPr>
        <w:pStyle w:val="FootnoteText"/>
        <w:rPr>
          <w:szCs w:val="18"/>
        </w:rPr>
      </w:pPr>
      <w:r w:rsidRPr="00AA612E">
        <w:rPr>
          <w:rStyle w:val="FootnoteReference"/>
          <w:szCs w:val="18"/>
        </w:rPr>
        <w:footnoteRef/>
      </w:r>
      <w:r w:rsidRPr="00AA612E">
        <w:rPr>
          <w:szCs w:val="18"/>
        </w:rPr>
        <w:t xml:space="preserve"> See Section </w:t>
      </w:r>
      <w:r>
        <w:rPr>
          <w:szCs w:val="18"/>
        </w:rPr>
        <w:fldChar w:fldCharType="begin"/>
      </w:r>
      <w:r>
        <w:rPr>
          <w:szCs w:val="18"/>
        </w:rPr>
        <w:instrText xml:space="preserve"> REF _Ref33181676 \n \h </w:instrText>
      </w:r>
      <w:r>
        <w:rPr>
          <w:szCs w:val="18"/>
        </w:rPr>
      </w:r>
      <w:r>
        <w:rPr>
          <w:szCs w:val="18"/>
        </w:rPr>
        <w:fldChar w:fldCharType="separate"/>
      </w:r>
      <w:r>
        <w:rPr>
          <w:szCs w:val="18"/>
        </w:rPr>
        <w:t>A.1.3</w:t>
      </w:r>
      <w:r>
        <w:rPr>
          <w:szCs w:val="18"/>
        </w:rPr>
        <w:fldChar w:fldCharType="end"/>
      </w:r>
      <w:r w:rsidRPr="00AA612E">
        <w:rPr>
          <w:szCs w:val="18"/>
        </w:rPr>
        <w:t xml:space="preserve"> for more information about the programs considered.</w:t>
      </w:r>
      <w:r>
        <w:rPr>
          <w:szCs w:val="18"/>
        </w:rPr>
        <w:t xml:space="preserve"> Note that MF was considered for Wave</w:t>
      </w:r>
      <w:r w:rsidR="00237ED4">
        <w:rPr>
          <w:szCs w:val="18"/>
        </w:rPr>
        <w:t>s</w:t>
      </w:r>
      <w:r>
        <w:rPr>
          <w:szCs w:val="18"/>
        </w:rPr>
        <w:t xml:space="preserve"> 1 </w:t>
      </w:r>
      <w:r w:rsidR="00237ED4">
        <w:rPr>
          <w:szCs w:val="18"/>
        </w:rPr>
        <w:t>and 2</w:t>
      </w:r>
      <w:r w:rsidR="00881D3D">
        <w:rPr>
          <w:szCs w:val="18"/>
        </w:rPr>
        <w:t>,</w:t>
      </w:r>
      <w:r w:rsidR="00237ED4">
        <w:rPr>
          <w:szCs w:val="18"/>
        </w:rPr>
        <w:t xml:space="preserve"> </w:t>
      </w:r>
      <w:r>
        <w:rPr>
          <w:szCs w:val="18"/>
        </w:rPr>
        <w:t>but there was no crossover participation between MF and HER in 202</w:t>
      </w:r>
      <w:r w:rsidR="0036738B">
        <w:rPr>
          <w:szCs w:val="18"/>
        </w:rPr>
        <w:t>3</w:t>
      </w:r>
      <w:r>
        <w:rPr>
          <w:szCs w:val="18"/>
        </w:rPr>
        <w:t>.</w:t>
      </w:r>
    </w:p>
  </w:footnote>
  <w:footnote w:id="18">
    <w:p w14:paraId="19DAFED2" w14:textId="77777777" w:rsidR="00CB29B0" w:rsidRPr="00AA612E" w:rsidRDefault="00CB29B0" w:rsidP="00CB29B0">
      <w:pPr>
        <w:pStyle w:val="FootnoteText"/>
        <w:rPr>
          <w:szCs w:val="18"/>
        </w:rPr>
      </w:pPr>
      <w:r w:rsidRPr="00AA612E">
        <w:rPr>
          <w:rStyle w:val="FootnoteReference"/>
          <w:szCs w:val="18"/>
        </w:rPr>
        <w:footnoteRef/>
      </w:r>
      <w:r w:rsidRPr="00AA612E">
        <w:rPr>
          <w:szCs w:val="18"/>
        </w:rPr>
        <w:t xml:space="preserve"> See Section </w:t>
      </w:r>
      <w:r>
        <w:rPr>
          <w:szCs w:val="18"/>
        </w:rPr>
        <w:fldChar w:fldCharType="begin"/>
      </w:r>
      <w:r>
        <w:rPr>
          <w:szCs w:val="18"/>
        </w:rPr>
        <w:instrText xml:space="preserve"> REF _Ref33181676 \n \h </w:instrText>
      </w:r>
      <w:r>
        <w:rPr>
          <w:szCs w:val="18"/>
        </w:rPr>
      </w:r>
      <w:r>
        <w:rPr>
          <w:szCs w:val="18"/>
        </w:rPr>
        <w:fldChar w:fldCharType="separate"/>
      </w:r>
      <w:r>
        <w:rPr>
          <w:szCs w:val="18"/>
        </w:rPr>
        <w:t>A.1.3</w:t>
      </w:r>
      <w:r>
        <w:rPr>
          <w:szCs w:val="18"/>
        </w:rPr>
        <w:fldChar w:fldCharType="end"/>
      </w:r>
      <w:r w:rsidRPr="00AA612E">
        <w:rPr>
          <w:szCs w:val="18"/>
        </w:rPr>
        <w:t xml:space="preserve"> for more information on POD and DID statistics.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500"/>
      <w:gridCol w:w="4860"/>
    </w:tblGrid>
    <w:tr w:rsidR="004F0F97" w14:paraId="6FB61DB6" w14:textId="77777777" w:rsidTr="001F2895">
      <w:trPr>
        <w:jc w:val="center"/>
      </w:trPr>
      <w:tc>
        <w:tcPr>
          <w:tcW w:w="450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860" w:type="dxa"/>
          <w:vAlign w:val="bottom"/>
        </w:tcPr>
        <w:p w14:paraId="36979183" w14:textId="25128D06" w:rsidR="004F0F97" w:rsidRPr="001F2895" w:rsidRDefault="004F0F97" w:rsidP="00917C40">
          <w:pPr>
            <w:pStyle w:val="Header"/>
            <w:rPr>
              <w:bCs/>
            </w:rPr>
          </w:pPr>
          <w:r w:rsidRPr="001F2895">
            <w:rPr>
              <w:bCs/>
              <w:noProof/>
            </w:rPr>
            <w:fldChar w:fldCharType="begin"/>
          </w:r>
          <w:r w:rsidRPr="001F2895">
            <w:rPr>
              <w:bCs/>
              <w:noProof/>
            </w:rPr>
            <w:instrText xml:space="preserve"> STYLEREF  Title,Cover_Title  \* MERGEFORMAT </w:instrText>
          </w:r>
          <w:r w:rsidR="00372B72">
            <w:rPr>
              <w:bCs/>
              <w:noProof/>
            </w:rPr>
            <w:fldChar w:fldCharType="separate"/>
          </w:r>
          <w:r w:rsidR="00372B72">
            <w:rPr>
              <w:bCs/>
              <w:noProof/>
            </w:rPr>
            <w:t>Home Energy Reports Impact Evaluation Report</w:t>
          </w:r>
          <w:r w:rsidRPr="001F2895">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4C3AB036" w:rsidR="004F0F97" w:rsidRPr="00372B72" w:rsidRDefault="004F0F97" w:rsidP="00E656A1">
          <w:pPr>
            <w:pStyle w:val="Header"/>
            <w:jc w:val="right"/>
            <w:rPr>
              <w:bCs/>
            </w:rPr>
          </w:pPr>
          <w:r w:rsidRPr="00372B72">
            <w:rPr>
              <w:bCs/>
              <w:noProof/>
            </w:rPr>
            <w:fldChar w:fldCharType="begin"/>
          </w:r>
          <w:r w:rsidRPr="00372B72">
            <w:rPr>
              <w:bCs/>
              <w:noProof/>
            </w:rPr>
            <w:instrText xml:space="preserve"> STYLEREF  Title,Cover_Title  \* MERGEFORMAT </w:instrText>
          </w:r>
          <w:r w:rsidRPr="00372B72">
            <w:rPr>
              <w:bCs/>
              <w:noProof/>
            </w:rPr>
            <w:fldChar w:fldCharType="separate"/>
          </w:r>
          <w:r w:rsidR="00372B72">
            <w:rPr>
              <w:bCs/>
              <w:noProof/>
            </w:rPr>
            <w:t>Home Energy Reports Impact Evaluation Report</w:t>
          </w:r>
          <w:r w:rsidRPr="00372B72">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2EC9172C"/>
    <w:multiLevelType w:val="hybridMultilevel"/>
    <w:tmpl w:val="9B267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5E13DB9"/>
    <w:multiLevelType w:val="hybridMultilevel"/>
    <w:tmpl w:val="5A3E6E0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D001C3D"/>
    <w:multiLevelType w:val="hybridMultilevel"/>
    <w:tmpl w:val="31EA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5250A3E"/>
    <w:multiLevelType w:val="hybridMultilevel"/>
    <w:tmpl w:val="42FE921A"/>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8"/>
  </w:num>
  <w:num w:numId="2" w16cid:durableId="803624762">
    <w:abstractNumId w:val="11"/>
  </w:num>
  <w:num w:numId="3" w16cid:durableId="1808356724">
    <w:abstractNumId w:val="37"/>
  </w:num>
  <w:num w:numId="4" w16cid:durableId="9726398">
    <w:abstractNumId w:val="15"/>
  </w:num>
  <w:num w:numId="5" w16cid:durableId="646207924">
    <w:abstractNumId w:val="31"/>
  </w:num>
  <w:num w:numId="6" w16cid:durableId="1778678908">
    <w:abstractNumId w:val="29"/>
  </w:num>
  <w:num w:numId="7" w16cid:durableId="129179713">
    <w:abstractNumId w:val="12"/>
  </w:num>
  <w:num w:numId="8" w16cid:durableId="1735278040">
    <w:abstractNumId w:val="26"/>
  </w:num>
  <w:num w:numId="9" w16cid:durableId="391200273">
    <w:abstractNumId w:val="20"/>
  </w:num>
  <w:num w:numId="10" w16cid:durableId="1815029820">
    <w:abstractNumId w:val="36"/>
  </w:num>
  <w:num w:numId="11" w16cid:durableId="2035227353">
    <w:abstractNumId w:val="17"/>
  </w:num>
  <w:num w:numId="12" w16cid:durableId="1595625335">
    <w:abstractNumId w:val="34"/>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8"/>
  </w:num>
  <w:num w:numId="24" w16cid:durableId="1519387041">
    <w:abstractNumId w:val="16"/>
  </w:num>
  <w:num w:numId="25" w16cid:durableId="941915311">
    <w:abstractNumId w:val="25"/>
  </w:num>
  <w:num w:numId="26" w16cid:durableId="1090128680">
    <w:abstractNumId w:val="18"/>
  </w:num>
  <w:num w:numId="27" w16cid:durableId="485560493">
    <w:abstractNumId w:val="24"/>
  </w:num>
  <w:num w:numId="28" w16cid:durableId="2017926303">
    <w:abstractNumId w:val="23"/>
  </w:num>
  <w:num w:numId="29" w16cid:durableId="1120220432">
    <w:abstractNumId w:val="13"/>
  </w:num>
  <w:num w:numId="30" w16cid:durableId="815026076">
    <w:abstractNumId w:val="10"/>
  </w:num>
  <w:num w:numId="31" w16cid:durableId="2093163222">
    <w:abstractNumId w:val="35"/>
  </w:num>
  <w:num w:numId="32" w16cid:durableId="960261120">
    <w:abstractNumId w:val="14"/>
  </w:num>
  <w:num w:numId="33" w16cid:durableId="954873979">
    <w:abstractNumId w:val="32"/>
  </w:num>
  <w:num w:numId="34" w16cid:durableId="626425023">
    <w:abstractNumId w:val="19"/>
  </w:num>
  <w:num w:numId="35" w16cid:durableId="540900493">
    <w:abstractNumId w:val="27"/>
  </w:num>
  <w:num w:numId="36" w16cid:durableId="1322852866">
    <w:abstractNumId w:val="30"/>
  </w:num>
  <w:num w:numId="37" w16cid:durableId="303239438">
    <w:abstractNumId w:val="33"/>
  </w:num>
  <w:num w:numId="38" w16cid:durableId="20484809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448941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0310"/>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32C6"/>
    <w:rsid w:val="0005369A"/>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97F6F"/>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2B8"/>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6B81"/>
    <w:rsid w:val="000D70C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1963"/>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683"/>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895"/>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8DA"/>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37ED4"/>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67FEC"/>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2F4E"/>
    <w:rsid w:val="002E3318"/>
    <w:rsid w:val="002E41F1"/>
    <w:rsid w:val="002E475A"/>
    <w:rsid w:val="002E4A40"/>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CEE"/>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38FC"/>
    <w:rsid w:val="00335514"/>
    <w:rsid w:val="00335964"/>
    <w:rsid w:val="00336233"/>
    <w:rsid w:val="0033630D"/>
    <w:rsid w:val="00336A1F"/>
    <w:rsid w:val="00337A21"/>
    <w:rsid w:val="003401D9"/>
    <w:rsid w:val="00340B9C"/>
    <w:rsid w:val="00341103"/>
    <w:rsid w:val="0034203B"/>
    <w:rsid w:val="003438C4"/>
    <w:rsid w:val="003439BB"/>
    <w:rsid w:val="00343F15"/>
    <w:rsid w:val="003443AD"/>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38B"/>
    <w:rsid w:val="00367434"/>
    <w:rsid w:val="00367491"/>
    <w:rsid w:val="003677D2"/>
    <w:rsid w:val="003705D0"/>
    <w:rsid w:val="00370D98"/>
    <w:rsid w:val="00371001"/>
    <w:rsid w:val="00371F32"/>
    <w:rsid w:val="003720BD"/>
    <w:rsid w:val="003725A9"/>
    <w:rsid w:val="00372683"/>
    <w:rsid w:val="00372B72"/>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6E88"/>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6684"/>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A85"/>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0C4"/>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652B"/>
    <w:rsid w:val="004A7055"/>
    <w:rsid w:val="004A778A"/>
    <w:rsid w:val="004A7ACB"/>
    <w:rsid w:val="004A7F35"/>
    <w:rsid w:val="004B060F"/>
    <w:rsid w:val="004B061D"/>
    <w:rsid w:val="004B06F9"/>
    <w:rsid w:val="004B0BDB"/>
    <w:rsid w:val="004B0E7B"/>
    <w:rsid w:val="004B13CB"/>
    <w:rsid w:val="004B19DB"/>
    <w:rsid w:val="004B1E1E"/>
    <w:rsid w:val="004B2657"/>
    <w:rsid w:val="004B27C1"/>
    <w:rsid w:val="004B29CE"/>
    <w:rsid w:val="004B2F17"/>
    <w:rsid w:val="004B3AE1"/>
    <w:rsid w:val="004B42C0"/>
    <w:rsid w:val="004B558D"/>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0B90"/>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1AF"/>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430"/>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B41"/>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1E01"/>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158F"/>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9E6"/>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3CDB"/>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26A"/>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952"/>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25C"/>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295"/>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124"/>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07E38"/>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379FB"/>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1B7"/>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CC3"/>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5D7"/>
    <w:rsid w:val="007E58F7"/>
    <w:rsid w:val="007E6414"/>
    <w:rsid w:val="007E64CF"/>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3838"/>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1D3D"/>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593"/>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D7DCE"/>
    <w:rsid w:val="008E004C"/>
    <w:rsid w:val="008E0C43"/>
    <w:rsid w:val="008E1133"/>
    <w:rsid w:val="008E16A4"/>
    <w:rsid w:val="008E201E"/>
    <w:rsid w:val="008E219F"/>
    <w:rsid w:val="008E30B8"/>
    <w:rsid w:val="008E345B"/>
    <w:rsid w:val="008E365B"/>
    <w:rsid w:val="008E5375"/>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3E2"/>
    <w:rsid w:val="00921CFD"/>
    <w:rsid w:val="009229D4"/>
    <w:rsid w:val="00922B40"/>
    <w:rsid w:val="009237B7"/>
    <w:rsid w:val="009243B0"/>
    <w:rsid w:val="00924887"/>
    <w:rsid w:val="009249C9"/>
    <w:rsid w:val="00925AFE"/>
    <w:rsid w:val="00926A1F"/>
    <w:rsid w:val="00926BD0"/>
    <w:rsid w:val="00927270"/>
    <w:rsid w:val="00927487"/>
    <w:rsid w:val="00927E76"/>
    <w:rsid w:val="00927E96"/>
    <w:rsid w:val="009300FC"/>
    <w:rsid w:val="00930774"/>
    <w:rsid w:val="009308AC"/>
    <w:rsid w:val="00931E93"/>
    <w:rsid w:val="00932327"/>
    <w:rsid w:val="00932A1C"/>
    <w:rsid w:val="00932FFE"/>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5FE"/>
    <w:rsid w:val="0094280C"/>
    <w:rsid w:val="009428DA"/>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944"/>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43B"/>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6BD"/>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83E"/>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AC3"/>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2294"/>
    <w:rsid w:val="00AE2F9F"/>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8"/>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92B"/>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AA1"/>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87E90"/>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4EE4"/>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9A"/>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04"/>
    <w:rsid w:val="00C63BCF"/>
    <w:rsid w:val="00C63EA3"/>
    <w:rsid w:val="00C647E0"/>
    <w:rsid w:val="00C6557C"/>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9E"/>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9B0"/>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C6C"/>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249"/>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1BD6"/>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460"/>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94F"/>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05F"/>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625"/>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7D8"/>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A0"/>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1FEE"/>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6F5"/>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3F91"/>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064D"/>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709"/>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8D6"/>
    <w:rsid w:val="00F66CA7"/>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1DA8"/>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3A3"/>
    <w:rsid w:val="00FA0834"/>
    <w:rsid w:val="00FA0865"/>
    <w:rsid w:val="00FA0BF8"/>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1BC"/>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3F"/>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7ED4"/>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571E01"/>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qFormat/>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Proposal List Paragraph,TOC etc."/>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Proposal List Paragraph Char,TOC etc.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571E01"/>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 w:type="table" w:styleId="ListTable3-Accent3">
    <w:name w:val="List Table 3 Accent 3"/>
    <w:basedOn w:val="TableNormal"/>
    <w:uiPriority w:val="48"/>
    <w:rsid w:val="00CB29B0"/>
    <w:tblPr>
      <w:tblStyleRowBandSize w:val="1"/>
      <w:tblStyleColBandSize w:val="1"/>
      <w:tblBorders>
        <w:top w:val="single" w:sz="4" w:space="0" w:color="036479" w:themeColor="accent3"/>
        <w:left w:val="single" w:sz="4" w:space="0" w:color="036479" w:themeColor="accent3"/>
        <w:bottom w:val="single" w:sz="4" w:space="0" w:color="036479" w:themeColor="accent3"/>
        <w:right w:val="single" w:sz="4" w:space="0" w:color="036479" w:themeColor="accent3"/>
      </w:tblBorders>
    </w:tblPr>
    <w:tblStylePr w:type="firstRow">
      <w:rPr>
        <w:b/>
        <w:bCs/>
        <w:color w:val="FFFFFF" w:themeColor="background1"/>
      </w:rPr>
      <w:tblPr/>
      <w:tcPr>
        <w:shd w:val="clear" w:color="auto" w:fill="036479" w:themeFill="accent3"/>
      </w:tcPr>
    </w:tblStylePr>
    <w:tblStylePr w:type="lastRow">
      <w:rPr>
        <w:b/>
        <w:bCs/>
      </w:rPr>
      <w:tblPr/>
      <w:tcPr>
        <w:tcBorders>
          <w:top w:val="double" w:sz="4" w:space="0" w:color="03647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6479" w:themeColor="accent3"/>
          <w:right w:val="single" w:sz="4" w:space="0" w:color="036479" w:themeColor="accent3"/>
        </w:tcBorders>
      </w:tcPr>
    </w:tblStylePr>
    <w:tblStylePr w:type="band1Horz">
      <w:tblPr/>
      <w:tcPr>
        <w:tcBorders>
          <w:top w:val="single" w:sz="4" w:space="0" w:color="036479" w:themeColor="accent3"/>
          <w:bottom w:val="single" w:sz="4" w:space="0" w:color="03647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6479" w:themeColor="accent3"/>
          <w:left w:val="nil"/>
        </w:tcBorders>
      </w:tcPr>
    </w:tblStylePr>
    <w:tblStylePr w:type="swCell">
      <w:tblPr/>
      <w:tcPr>
        <w:tcBorders>
          <w:top w:val="double" w:sz="4" w:space="0" w:color="036479" w:themeColor="accent3"/>
          <w:right w:val="nil"/>
        </w:tcBorders>
      </w:tcPr>
    </w:tblStylePr>
  </w:style>
  <w:style w:type="character" w:customStyle="1" w:styleId="ui-provider">
    <w:name w:val="ui-provider"/>
    <w:basedOn w:val="DefaultParagraphFont"/>
    <w:rsid w:val="00322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253">
      <w:bodyDiv w:val="1"/>
      <w:marLeft w:val="0"/>
      <w:marRight w:val="0"/>
      <w:marTop w:val="0"/>
      <w:marBottom w:val="0"/>
      <w:divBdr>
        <w:top w:val="none" w:sz="0" w:space="0" w:color="auto"/>
        <w:left w:val="none" w:sz="0" w:space="0" w:color="auto"/>
        <w:bottom w:val="none" w:sz="0" w:space="0" w:color="auto"/>
        <w:right w:val="none" w:sz="0" w:space="0" w:color="auto"/>
      </w:divBdr>
    </w:div>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58082488">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18244787">
      <w:bodyDiv w:val="1"/>
      <w:marLeft w:val="0"/>
      <w:marRight w:val="0"/>
      <w:marTop w:val="0"/>
      <w:marBottom w:val="0"/>
      <w:divBdr>
        <w:top w:val="none" w:sz="0" w:space="0" w:color="auto"/>
        <w:left w:val="none" w:sz="0" w:space="0" w:color="auto"/>
        <w:bottom w:val="none" w:sz="0" w:space="0" w:color="auto"/>
        <w:right w:val="none" w:sz="0" w:space="0" w:color="auto"/>
      </w:divBdr>
    </w:div>
    <w:div w:id="25686403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94825317">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797795349">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47532791">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83921567">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54E390B-C66E-43BB-8737-9AB2EF6A8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CA25650A-257B-4364-81A8-4B0E0938CC7B}">
  <ds:schemaRefs>
    <ds:schemaRef ds:uri="http://purl.org/dc/terms/"/>
    <ds:schemaRef ds:uri="http://schemas.microsoft.com/office/2006/documentManagement/types"/>
    <ds:schemaRef ds:uri="http://schemas.microsoft.com/office/infopath/2007/PartnerControls"/>
    <ds:schemaRef ds:uri="69b69d6d-65a1-4caa-af9f-65a0589807e5"/>
    <ds:schemaRef ds:uri="http://schemas.microsoft.com/office/2006/metadata/properties"/>
    <ds:schemaRef ds:uri="http://purl.org/dc/dcmitype/"/>
    <ds:schemaRef ds:uri="http://www.w3.org/XML/1998/namespace"/>
    <ds:schemaRef ds:uri="http://schemas.openxmlformats.org/package/2006/metadata/core-properties"/>
    <ds:schemaRef ds:uri="d55a515e-192b-4b7b-b720-6a3c0262ae0f"/>
    <ds:schemaRef ds:uri="http://schemas.microsoft.com/sharepoint/v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6</TotalTime>
  <Pages>20</Pages>
  <Words>4878</Words>
  <Characters>30165</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3</cp:revision>
  <cp:lastPrinted>2017-10-03T19:32:00Z</cp:lastPrinted>
  <dcterms:created xsi:type="dcterms:W3CDTF">2024-04-30T02:35:00Z</dcterms:created>
  <dcterms:modified xsi:type="dcterms:W3CDTF">2024-04-30T02:36:00Z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